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3A87E4" w14:textId="77777777" w:rsidR="009A0FF6" w:rsidRDefault="009A0FF6" w:rsidP="002F6CE5">
      <w:pPr>
        <w:ind w:left="2292" w:hanging="2292"/>
      </w:pPr>
      <w:bookmarkStart w:id="0" w:name="_Toc209500354"/>
      <w:bookmarkStart w:id="1" w:name="_Toc219275270"/>
      <w:bookmarkStart w:id="2" w:name="_Toc219275340"/>
      <w:bookmarkStart w:id="3" w:name="_Toc219518985"/>
    </w:p>
    <w:p w14:paraId="6B3A87E5" w14:textId="003BBF0D" w:rsidR="008720EB" w:rsidRPr="00A83AE7" w:rsidRDefault="008D3279" w:rsidP="002F6CE5">
      <w:pPr>
        <w:ind w:left="2292" w:hanging="2292"/>
        <w:rPr>
          <w:lang w:val="en-US"/>
        </w:rPr>
      </w:pPr>
      <w:r w:rsidRPr="00A83AE7">
        <w:rPr>
          <w:lang w:val="en-US"/>
        </w:rPr>
        <w:t xml:space="preserve">SCORECARD </w:t>
      </w:r>
      <w:r w:rsidR="00A91451" w:rsidRPr="00A83AE7">
        <w:rPr>
          <w:lang w:val="en-US"/>
        </w:rPr>
        <w:tab/>
      </w:r>
      <w:r w:rsidR="00041B43" w:rsidRPr="00A83AE7">
        <w:rPr>
          <w:lang w:val="en-US"/>
        </w:rPr>
        <w:t>Asian Development Bank</w:t>
      </w:r>
      <w:r w:rsidR="00A83AE7" w:rsidRPr="00A83AE7">
        <w:rPr>
          <w:lang w:val="en-US"/>
        </w:rPr>
        <w:t xml:space="preserve"> (A</w:t>
      </w:r>
      <w:r w:rsidR="00A8053B">
        <w:rPr>
          <w:lang w:val="en-US"/>
        </w:rPr>
        <w:t>s</w:t>
      </w:r>
      <w:r w:rsidR="00A83AE7" w:rsidRPr="00A83AE7">
        <w:rPr>
          <w:lang w:val="en-US"/>
        </w:rPr>
        <w:t>DB)</w:t>
      </w:r>
    </w:p>
    <w:p w14:paraId="6B3A87E6" w14:textId="77777777" w:rsidR="008720EB" w:rsidRPr="00A83AE7" w:rsidRDefault="008720EB" w:rsidP="002F6CE5">
      <w:pPr>
        <w:ind w:left="2292" w:hanging="2292"/>
        <w:rPr>
          <w:lang w:val="en-US"/>
        </w:rPr>
      </w:pPr>
    </w:p>
    <w:p w14:paraId="6B3A87E7" w14:textId="30483F55" w:rsidR="009B57FB" w:rsidRDefault="00DA601E" w:rsidP="002F6CE5">
      <w:pPr>
        <w:ind w:left="2292" w:hanging="2292"/>
      </w:pPr>
      <w:fldSimple w:instr=" DOCPROPERTY  L_CONTACT  \* MERGEFORMAT ">
        <w:r w:rsidR="00E5538F">
          <w:t>Opgesteld door</w:t>
        </w:r>
      </w:fldSimple>
      <w:r w:rsidR="002F6CE5" w:rsidRPr="00785F18">
        <w:tab/>
      </w:r>
      <w:r w:rsidR="003A65E8">
        <w:t xml:space="preserve">Directie </w:t>
      </w:r>
      <w:r w:rsidR="00460E7F">
        <w:t>Multilaterale Instellingen en Mensenrechten</w:t>
      </w:r>
    </w:p>
    <w:p w14:paraId="6B3A87E8" w14:textId="5E420C08" w:rsidR="002F6CE5" w:rsidRPr="00785F18" w:rsidRDefault="002F6CE5" w:rsidP="002F6CE5">
      <w:pPr>
        <w:ind w:left="2292" w:hanging="2292"/>
      </w:pPr>
      <w:r w:rsidRPr="00785F18">
        <w:br/>
      </w:r>
    </w:p>
    <w:tbl>
      <w:tblPr>
        <w:tblW w:w="0" w:type="auto"/>
        <w:tblLook w:val="01E0" w:firstRow="1" w:lastRow="1" w:firstColumn="1" w:lastColumn="1" w:noHBand="0" w:noVBand="0"/>
      </w:tblPr>
      <w:tblGrid>
        <w:gridCol w:w="2241"/>
        <w:gridCol w:w="5485"/>
      </w:tblGrid>
      <w:tr w:rsidR="002F6CE5" w:rsidRPr="00785F18" w14:paraId="6B3A87EC" w14:textId="77777777" w:rsidTr="008F1B70">
        <w:tc>
          <w:tcPr>
            <w:tcW w:w="2268" w:type="dxa"/>
            <w:shd w:val="clear" w:color="auto" w:fill="auto"/>
          </w:tcPr>
          <w:p w14:paraId="6B3A87E9" w14:textId="1B358572" w:rsidR="002F6CE5" w:rsidRPr="00785F18" w:rsidRDefault="00DA601E" w:rsidP="00780536">
            <w:fldSimple w:instr=" DOCPROPERTY  L_AUTHOR  \* MERGEFORMAT ">
              <w:r w:rsidR="00780536">
                <w:t>Redacteur</w:t>
              </w:r>
              <w:r w:rsidR="00E5538F">
                <w:t>:</w:t>
              </w:r>
            </w:fldSimple>
          </w:p>
        </w:tc>
        <w:tc>
          <w:tcPr>
            <w:tcW w:w="5598" w:type="dxa"/>
            <w:shd w:val="clear" w:color="auto" w:fill="auto"/>
          </w:tcPr>
          <w:p w14:paraId="6B3A87EA" w14:textId="77777777" w:rsidR="002F6CE5" w:rsidRDefault="008D3279" w:rsidP="00221806">
            <w:r>
              <w:t>Sophie Willems</w:t>
            </w:r>
          </w:p>
          <w:p w14:paraId="6B3A87EB" w14:textId="77777777" w:rsidR="002F6CE5" w:rsidRPr="00785F18" w:rsidRDefault="00041B43" w:rsidP="005534BA">
            <w:r>
              <w:t>A</w:t>
            </w:r>
            <w:r w:rsidR="00326699">
              <w:t>fgestemd met</w:t>
            </w:r>
            <w:r>
              <w:t xml:space="preserve"> KGK AsDB, IGG </w:t>
            </w:r>
          </w:p>
        </w:tc>
      </w:tr>
    </w:tbl>
    <w:p w14:paraId="6B3A87ED" w14:textId="77777777" w:rsidR="00991C2E" w:rsidRDefault="00991C2E" w:rsidP="00991C2E"/>
    <w:p w14:paraId="6B3A87EE" w14:textId="77777777" w:rsidR="00991C2E" w:rsidRDefault="00991C2E" w:rsidP="00991C2E"/>
    <w:p w14:paraId="6B3A87EF" w14:textId="77777777" w:rsidR="00991C2E" w:rsidRDefault="00991C2E" w:rsidP="00991C2E"/>
    <w:p w14:paraId="6B3A87F0" w14:textId="77777777" w:rsidR="00326699" w:rsidRDefault="00326699" w:rsidP="00326699">
      <w:pPr>
        <w:spacing w:line="240" w:lineRule="auto"/>
      </w:pPr>
    </w:p>
    <w:p w14:paraId="6B3A87F1" w14:textId="77777777" w:rsidR="00326699" w:rsidRDefault="00326699" w:rsidP="00326699">
      <w:pPr>
        <w:spacing w:line="240" w:lineRule="auto"/>
      </w:pPr>
    </w:p>
    <w:p w14:paraId="6B3A87F2" w14:textId="77777777" w:rsidR="00326699" w:rsidRDefault="00326699" w:rsidP="00326699">
      <w:pPr>
        <w:spacing w:line="240" w:lineRule="auto"/>
        <w:sectPr w:rsidR="00326699" w:rsidSect="007D656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2520" w:right="960" w:bottom="1080" w:left="3220" w:header="200" w:footer="660" w:gutter="0"/>
          <w:cols w:space="708"/>
          <w:titlePg/>
          <w:docGrid w:linePitch="360"/>
        </w:sectPr>
      </w:pPr>
    </w:p>
    <w:bookmarkEnd w:id="0"/>
    <w:bookmarkEnd w:id="1"/>
    <w:bookmarkEnd w:id="2"/>
    <w:bookmarkEnd w:id="3"/>
    <w:p w14:paraId="6B3A87F3" w14:textId="77777777" w:rsidR="00A908F9" w:rsidRDefault="00A908F9" w:rsidP="00A908F9">
      <w:pPr>
        <w:pStyle w:val="Kop-Inhoudsopgave"/>
      </w:pPr>
    </w:p>
    <w:p w14:paraId="6B3A87F4" w14:textId="77777777" w:rsidR="00A908F9" w:rsidRDefault="00A908F9" w:rsidP="00A908F9">
      <w:pPr>
        <w:pStyle w:val="Kop-Inhoudsopgave"/>
      </w:pPr>
    </w:p>
    <w:p w14:paraId="6B3A87F5" w14:textId="489AE1C8" w:rsidR="00A908F9" w:rsidRDefault="008720EB" w:rsidP="00A908F9">
      <w:pPr>
        <w:pStyle w:val="Kop-Inhoudsopgave"/>
      </w:pPr>
      <w:r>
        <w:br w:type="page"/>
      </w:r>
      <w:fldSimple w:instr=" DOCPROPERTY  L_TOC  \* MERGEFORMAT ">
        <w:bookmarkStart w:id="8" w:name="_Toc287446465"/>
        <w:bookmarkStart w:id="9" w:name="_Toc287454445"/>
        <w:bookmarkStart w:id="10" w:name="_Toc491437334"/>
        <w:r w:rsidR="00E5538F">
          <w:t>Inhoudsopgave</w:t>
        </w:r>
        <w:bookmarkEnd w:id="8"/>
        <w:bookmarkEnd w:id="9"/>
        <w:bookmarkEnd w:id="10"/>
      </w:fldSimple>
    </w:p>
    <w:p w14:paraId="500635DD" w14:textId="392D1FFD" w:rsidR="0093264C" w:rsidRDefault="006B2292">
      <w:pPr>
        <w:pStyle w:val="TOC1"/>
        <w:tabs>
          <w:tab w:val="right" w:leader="dot" w:pos="7716"/>
        </w:tabs>
        <w:rPr>
          <w:rFonts w:asciiTheme="minorHAnsi" w:eastAsiaTheme="minorEastAsia" w:hAnsiTheme="minorHAnsi" w:cstheme="minorBidi"/>
          <w:noProof/>
          <w:sz w:val="22"/>
          <w:szCs w:val="22"/>
        </w:rPr>
      </w:pPr>
      <w:r w:rsidRPr="00785F18">
        <w:fldChar w:fldCharType="begin"/>
      </w:r>
      <w:r w:rsidRPr="00785F18">
        <w:instrText xml:space="preserve"> TOC \t "Heading 1;2;Heading 2;3;Heading 3;4;Kop-Inhoudsopgave;1;Kop zonder nummering;1;Subtitle;2;Title;1" </w:instrText>
      </w:r>
      <w:r w:rsidRPr="00785F18">
        <w:fldChar w:fldCharType="separate"/>
      </w:r>
      <w:r w:rsidR="0093264C">
        <w:rPr>
          <w:noProof/>
        </w:rPr>
        <w:t>Inhoudsopgave</w:t>
      </w:r>
      <w:r w:rsidR="0093264C">
        <w:rPr>
          <w:noProof/>
        </w:rPr>
        <w:tab/>
      </w:r>
      <w:r w:rsidR="0093264C">
        <w:rPr>
          <w:noProof/>
        </w:rPr>
        <w:fldChar w:fldCharType="begin"/>
      </w:r>
      <w:r w:rsidR="0093264C">
        <w:rPr>
          <w:noProof/>
        </w:rPr>
        <w:instrText xml:space="preserve"> PAGEREF _Toc491437334 \h </w:instrText>
      </w:r>
      <w:r w:rsidR="0093264C">
        <w:rPr>
          <w:noProof/>
        </w:rPr>
      </w:r>
      <w:r w:rsidR="0093264C">
        <w:rPr>
          <w:noProof/>
        </w:rPr>
        <w:fldChar w:fldCharType="separate"/>
      </w:r>
      <w:r w:rsidR="0093264C">
        <w:rPr>
          <w:noProof/>
        </w:rPr>
        <w:t>2</w:t>
      </w:r>
      <w:r w:rsidR="0093264C">
        <w:rPr>
          <w:noProof/>
        </w:rPr>
        <w:fldChar w:fldCharType="end"/>
      </w:r>
    </w:p>
    <w:p w14:paraId="194D4198" w14:textId="72BEA2FD" w:rsidR="0093264C" w:rsidRDefault="0093264C">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_Toc491437335 \h </w:instrText>
      </w:r>
      <w:r>
        <w:fldChar w:fldCharType="separate"/>
      </w:r>
      <w:r>
        <w:t>3</w:t>
      </w:r>
      <w:r>
        <w:fldChar w:fldCharType="end"/>
      </w:r>
    </w:p>
    <w:p w14:paraId="43DA23AF" w14:textId="5C879275" w:rsidR="0093264C" w:rsidRDefault="0093264C">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_Toc491437336 \h </w:instrText>
      </w:r>
      <w:r>
        <w:fldChar w:fldCharType="separate"/>
      </w:r>
      <w:r>
        <w:t>3</w:t>
      </w:r>
      <w:r>
        <w:fldChar w:fldCharType="end"/>
      </w:r>
    </w:p>
    <w:p w14:paraId="2297C4A5" w14:textId="6221C214" w:rsidR="0093264C" w:rsidRDefault="0093264C">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_Toc491437337 \h </w:instrText>
      </w:r>
      <w:r>
        <w:fldChar w:fldCharType="separate"/>
      </w:r>
      <w:r>
        <w:t>3</w:t>
      </w:r>
      <w:r>
        <w:fldChar w:fldCharType="end"/>
      </w:r>
    </w:p>
    <w:p w14:paraId="335FC024" w14:textId="61595B7E" w:rsidR="0093264C" w:rsidRDefault="0093264C">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_Toc491437338 \h </w:instrText>
      </w:r>
      <w:r>
        <w:fldChar w:fldCharType="separate"/>
      </w:r>
      <w:r>
        <w:t>4</w:t>
      </w:r>
      <w:r>
        <w:fldChar w:fldCharType="end"/>
      </w:r>
    </w:p>
    <w:p w14:paraId="7B5AE284" w14:textId="1B441F6F" w:rsidR="0093264C" w:rsidRDefault="0093264C">
      <w:pPr>
        <w:pStyle w:val="TOC2"/>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Algemene achtergrond</w:t>
      </w:r>
      <w:r>
        <w:tab/>
      </w:r>
      <w:r>
        <w:fldChar w:fldCharType="begin"/>
      </w:r>
      <w:r>
        <w:instrText xml:space="preserve"> PAGEREF _Toc491437339 \h </w:instrText>
      </w:r>
      <w:r>
        <w:fldChar w:fldCharType="separate"/>
      </w:r>
      <w:r>
        <w:t>5</w:t>
      </w:r>
      <w:r>
        <w:fldChar w:fldCharType="end"/>
      </w:r>
    </w:p>
    <w:p w14:paraId="68B0E00E" w14:textId="7335B045" w:rsidR="0093264C" w:rsidRDefault="0093264C">
      <w:pPr>
        <w:pStyle w:val="TOC3"/>
        <w:rPr>
          <w:rFonts w:asciiTheme="minorHAnsi" w:eastAsiaTheme="minorEastAsia" w:hAnsiTheme="minorHAnsi" w:cstheme="minorBidi"/>
          <w:sz w:val="22"/>
          <w:szCs w:val="22"/>
        </w:rPr>
      </w:pPr>
      <w:r w:rsidRPr="00E0042F">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_Toc491437340 \h </w:instrText>
      </w:r>
      <w:r>
        <w:fldChar w:fldCharType="separate"/>
      </w:r>
      <w:r>
        <w:t>5</w:t>
      </w:r>
      <w:r>
        <w:fldChar w:fldCharType="end"/>
      </w:r>
    </w:p>
    <w:p w14:paraId="64906DE6" w14:textId="76ABA540" w:rsidR="0093264C" w:rsidRDefault="0093264C">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_Toc491437341 \h </w:instrText>
      </w:r>
      <w:r>
        <w:fldChar w:fldCharType="separate"/>
      </w:r>
      <w:r>
        <w:t>5</w:t>
      </w:r>
      <w:r>
        <w:fldChar w:fldCharType="end"/>
      </w:r>
    </w:p>
    <w:p w14:paraId="13D4F137" w14:textId="73EAC129" w:rsidR="0093264C" w:rsidRDefault="0093264C">
      <w:pPr>
        <w:pStyle w:val="TOC3"/>
        <w:rPr>
          <w:rFonts w:asciiTheme="minorHAnsi" w:eastAsiaTheme="minorEastAsia" w:hAnsiTheme="minorHAnsi" w:cstheme="minorBidi"/>
          <w:sz w:val="22"/>
          <w:szCs w:val="22"/>
        </w:rPr>
      </w:pPr>
      <w:r w:rsidRPr="00E0042F">
        <w:t>3</w:t>
      </w:r>
      <w:r>
        <w:t xml:space="preserve">.3 </w:t>
      </w:r>
      <w:r>
        <w:rPr>
          <w:rFonts w:asciiTheme="minorHAnsi" w:eastAsiaTheme="minorEastAsia" w:hAnsiTheme="minorHAnsi" w:cstheme="minorBidi"/>
          <w:sz w:val="22"/>
          <w:szCs w:val="22"/>
        </w:rPr>
        <w:tab/>
      </w:r>
      <w:r>
        <w:t>Nederlandse rol en invloed</w:t>
      </w:r>
      <w:r>
        <w:tab/>
      </w:r>
      <w:r>
        <w:fldChar w:fldCharType="begin"/>
      </w:r>
      <w:r>
        <w:instrText xml:space="preserve"> PAGEREF _Toc491437342 \h </w:instrText>
      </w:r>
      <w:r>
        <w:fldChar w:fldCharType="separate"/>
      </w:r>
      <w:r>
        <w:t>6</w:t>
      </w:r>
      <w:r>
        <w:fldChar w:fldCharType="end"/>
      </w:r>
    </w:p>
    <w:p w14:paraId="6B368A98" w14:textId="283AADC8" w:rsidR="0093264C" w:rsidRDefault="0093264C">
      <w:pPr>
        <w:pStyle w:val="TOC3"/>
        <w:rPr>
          <w:rFonts w:asciiTheme="minorHAnsi" w:eastAsiaTheme="minorEastAsia" w:hAnsiTheme="minorHAnsi" w:cstheme="minorBidi"/>
          <w:sz w:val="22"/>
          <w:szCs w:val="22"/>
        </w:rPr>
      </w:pPr>
      <w:r w:rsidRPr="00E0042F">
        <w:t>3</w:t>
      </w:r>
      <w:r>
        <w:t>.4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_Toc491437343 \h </w:instrText>
      </w:r>
      <w:r>
        <w:fldChar w:fldCharType="separate"/>
      </w:r>
      <w:r>
        <w:t>6</w:t>
      </w:r>
      <w:r>
        <w:fldChar w:fldCharType="end"/>
      </w:r>
    </w:p>
    <w:p w14:paraId="266FCB3A" w14:textId="2EE599BA" w:rsidR="0093264C" w:rsidRDefault="0093264C">
      <w:pPr>
        <w:pStyle w:val="TOC2"/>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_Toc491437344 \h </w:instrText>
      </w:r>
      <w:r>
        <w:fldChar w:fldCharType="separate"/>
      </w:r>
      <w:r>
        <w:t>8</w:t>
      </w:r>
      <w:r>
        <w:fldChar w:fldCharType="end"/>
      </w:r>
    </w:p>
    <w:p w14:paraId="29D43A07" w14:textId="49F7FBEC" w:rsidR="0093264C" w:rsidRDefault="0093264C">
      <w:pPr>
        <w:pStyle w:val="TOC3"/>
        <w:rPr>
          <w:rFonts w:asciiTheme="minorHAnsi" w:eastAsiaTheme="minorEastAsia" w:hAnsiTheme="minorHAnsi" w:cstheme="minorBidi"/>
          <w:sz w:val="22"/>
          <w:szCs w:val="22"/>
        </w:rPr>
      </w:pPr>
      <w:r w:rsidRPr="00E0042F">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_Toc491437345 \h </w:instrText>
      </w:r>
      <w:r>
        <w:fldChar w:fldCharType="separate"/>
      </w:r>
      <w:r>
        <w:t>8</w:t>
      </w:r>
      <w:r>
        <w:fldChar w:fldCharType="end"/>
      </w:r>
    </w:p>
    <w:p w14:paraId="4DC2DCBC" w14:textId="6124084C" w:rsidR="0093264C" w:rsidRDefault="0093264C">
      <w:pPr>
        <w:pStyle w:val="TOC3"/>
        <w:rPr>
          <w:rFonts w:asciiTheme="minorHAnsi" w:eastAsiaTheme="minorEastAsia" w:hAnsiTheme="minorHAnsi" w:cstheme="minorBidi"/>
          <w:sz w:val="22"/>
          <w:szCs w:val="22"/>
        </w:rPr>
      </w:pPr>
      <w:r w:rsidRPr="0093264C">
        <w:t>4.2</w:t>
      </w:r>
      <w:r>
        <w:rPr>
          <w:rFonts w:asciiTheme="minorHAnsi" w:eastAsiaTheme="minorEastAsia" w:hAnsiTheme="minorHAnsi" w:cstheme="minorBidi"/>
          <w:sz w:val="22"/>
          <w:szCs w:val="22"/>
        </w:rPr>
        <w:tab/>
      </w:r>
      <w:r w:rsidRPr="0093264C">
        <w:t>Resultaatgerichtheid en transparantie</w:t>
      </w:r>
      <w:r>
        <w:tab/>
      </w:r>
      <w:r>
        <w:fldChar w:fldCharType="begin"/>
      </w:r>
      <w:r>
        <w:instrText xml:space="preserve"> PAGEREF _Toc491437346 \h </w:instrText>
      </w:r>
      <w:r>
        <w:fldChar w:fldCharType="separate"/>
      </w:r>
      <w:r>
        <w:t>9</w:t>
      </w:r>
      <w:r>
        <w:fldChar w:fldCharType="end"/>
      </w:r>
    </w:p>
    <w:p w14:paraId="479AE8FF" w14:textId="73930D21" w:rsidR="0093264C" w:rsidRDefault="0093264C">
      <w:pPr>
        <w:pStyle w:val="TOC3"/>
        <w:rPr>
          <w:rFonts w:asciiTheme="minorHAnsi" w:eastAsiaTheme="minorEastAsia" w:hAnsiTheme="minorHAnsi" w:cstheme="minorBidi"/>
          <w:sz w:val="22"/>
          <w:szCs w:val="22"/>
        </w:rPr>
      </w:pPr>
      <w:r w:rsidRPr="0093264C">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_Toc491437347 \h </w:instrText>
      </w:r>
      <w:r>
        <w:fldChar w:fldCharType="separate"/>
      </w:r>
      <w:r>
        <w:t>9</w:t>
      </w:r>
      <w:r>
        <w:fldChar w:fldCharType="end"/>
      </w:r>
    </w:p>
    <w:p w14:paraId="1CE94A2B" w14:textId="7F298800" w:rsidR="0093264C" w:rsidRDefault="0093264C">
      <w:pPr>
        <w:pStyle w:val="TOC3"/>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Operationeel management</w:t>
      </w:r>
      <w:r>
        <w:tab/>
      </w:r>
      <w:r>
        <w:fldChar w:fldCharType="begin"/>
      </w:r>
      <w:r>
        <w:instrText xml:space="preserve"> PAGEREF _Toc491437348 \h </w:instrText>
      </w:r>
      <w:r>
        <w:fldChar w:fldCharType="separate"/>
      </w:r>
      <w:r>
        <w:t>10</w:t>
      </w:r>
      <w:r>
        <w:fldChar w:fldCharType="end"/>
      </w:r>
    </w:p>
    <w:p w14:paraId="3CCF0AB2" w14:textId="4DB58429" w:rsidR="0093264C" w:rsidRDefault="0093264C">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_Toc491437349 \h </w:instrText>
      </w:r>
      <w:r>
        <w:fldChar w:fldCharType="separate"/>
      </w:r>
      <w:r>
        <w:t>11</w:t>
      </w:r>
      <w:r>
        <w:fldChar w:fldCharType="end"/>
      </w:r>
    </w:p>
    <w:p w14:paraId="6DDA158B" w14:textId="0FA9A537" w:rsidR="0093264C" w:rsidRDefault="0093264C">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_Toc491437350 \h </w:instrText>
      </w:r>
      <w:r>
        <w:fldChar w:fldCharType="separate"/>
      </w:r>
      <w:r>
        <w:t>12</w:t>
      </w:r>
      <w:r>
        <w:fldChar w:fldCharType="end"/>
      </w:r>
    </w:p>
    <w:p w14:paraId="62796F41" w14:textId="21A7C085" w:rsidR="0093264C" w:rsidRDefault="0093264C">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_Toc491437351 \h </w:instrText>
      </w:r>
      <w:r>
        <w:fldChar w:fldCharType="separate"/>
      </w:r>
      <w:r>
        <w:t>13</w:t>
      </w:r>
      <w:r>
        <w:fldChar w:fldCharType="end"/>
      </w:r>
    </w:p>
    <w:p w14:paraId="67ADF0E5" w14:textId="2A5C5600" w:rsidR="0093264C" w:rsidRDefault="0093264C">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rsidRPr="00E0042F">
        <w:t>Kostenreductie</w:t>
      </w:r>
      <w:r>
        <w:tab/>
      </w:r>
      <w:r>
        <w:fldChar w:fldCharType="begin"/>
      </w:r>
      <w:r>
        <w:instrText xml:space="preserve"> PAGEREF _Toc491437352 \h </w:instrText>
      </w:r>
      <w:r>
        <w:fldChar w:fldCharType="separate"/>
      </w:r>
      <w:r>
        <w:t>13</w:t>
      </w:r>
      <w:r>
        <w:fldChar w:fldCharType="end"/>
      </w:r>
    </w:p>
    <w:p w14:paraId="16FF6AB1" w14:textId="5152C34A" w:rsidR="0093264C" w:rsidRDefault="0093264C">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_Toc491437353 \h </w:instrText>
      </w:r>
      <w:r>
        <w:fldChar w:fldCharType="separate"/>
      </w:r>
      <w:r>
        <w:t>14</w:t>
      </w:r>
      <w:r>
        <w:fldChar w:fldCharType="end"/>
      </w:r>
    </w:p>
    <w:p w14:paraId="5FACD88C" w14:textId="59B68F48" w:rsidR="0093264C" w:rsidRDefault="0093264C">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_Toc491437354 \h </w:instrText>
      </w:r>
      <w:r>
        <w:fldChar w:fldCharType="separate"/>
      </w:r>
      <w:r>
        <w:t>15</w:t>
      </w:r>
      <w:r>
        <w:fldChar w:fldCharType="end"/>
      </w:r>
    </w:p>
    <w:p w14:paraId="04FC614F" w14:textId="481D3428" w:rsidR="0093264C" w:rsidRDefault="0093264C">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_Toc491437355 \h </w:instrText>
      </w:r>
      <w:r>
        <w:fldChar w:fldCharType="separate"/>
      </w:r>
      <w:r>
        <w:t>15</w:t>
      </w:r>
      <w:r>
        <w:fldChar w:fldCharType="end"/>
      </w:r>
    </w:p>
    <w:p w14:paraId="612DBD22" w14:textId="4886DFBC" w:rsidR="0093264C" w:rsidRDefault="0093264C">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_Toc491437356 \h </w:instrText>
      </w:r>
      <w:r>
        <w:fldChar w:fldCharType="separate"/>
      </w:r>
      <w:r>
        <w:t>16</w:t>
      </w:r>
      <w:r>
        <w:fldChar w:fldCharType="end"/>
      </w:r>
    </w:p>
    <w:p w14:paraId="6B3A880E" w14:textId="48BB2EFB" w:rsidR="00261F77" w:rsidRPr="00290657" w:rsidRDefault="006B2292" w:rsidP="0014161D">
      <w:pPr>
        <w:pStyle w:val="TOC3"/>
        <w:rPr>
          <w:rFonts w:ascii="Calibri" w:hAnsi="Calibri"/>
          <w:sz w:val="22"/>
          <w:szCs w:val="22"/>
        </w:rPr>
      </w:pPr>
      <w:r w:rsidRPr="00785F18">
        <w:fldChar w:fldCharType="end"/>
      </w:r>
    </w:p>
    <w:p w14:paraId="6B3A880F" w14:textId="77777777" w:rsidR="00101F98" w:rsidRPr="00785F18" w:rsidRDefault="00101F98" w:rsidP="00163FA2">
      <w:pPr>
        <w:tabs>
          <w:tab w:val="left" w:pos="0"/>
        </w:tabs>
      </w:pPr>
    </w:p>
    <w:p w14:paraId="6B3A8810" w14:textId="77777777" w:rsidR="00A908F9" w:rsidRDefault="00A908F9" w:rsidP="00101F98"/>
    <w:p w14:paraId="6B3A8811" w14:textId="77777777" w:rsidR="00A908F9" w:rsidRPr="00A908F9" w:rsidRDefault="00A908F9" w:rsidP="00A908F9">
      <w:bookmarkStart w:id="11" w:name="_GoBack"/>
      <w:bookmarkEnd w:id="11"/>
    </w:p>
    <w:p w14:paraId="6B3A8812" w14:textId="77777777" w:rsidR="00A908F9" w:rsidRPr="00A908F9" w:rsidRDefault="00A908F9" w:rsidP="00A908F9"/>
    <w:p w14:paraId="6B3A8813" w14:textId="77777777" w:rsidR="00A908F9" w:rsidRDefault="00A908F9" w:rsidP="00A908F9">
      <w:pPr>
        <w:jc w:val="center"/>
      </w:pPr>
    </w:p>
    <w:p w14:paraId="6B3A8814" w14:textId="77777777" w:rsidR="00101F98" w:rsidRPr="00A908F9" w:rsidRDefault="00101F98" w:rsidP="00A908F9">
      <w:pPr>
        <w:sectPr w:rsidR="00101F98" w:rsidRPr="00A908F9" w:rsidSect="00EE1B9E">
          <w:headerReference w:type="first" r:id="rId16"/>
          <w:endnotePr>
            <w:numFmt w:val="decimal"/>
          </w:endnotePr>
          <w:type w:val="continuous"/>
          <w:pgSz w:w="11906" w:h="16838" w:code="9"/>
          <w:pgMar w:top="2520" w:right="960" w:bottom="1080" w:left="3220" w:header="200" w:footer="660" w:gutter="0"/>
          <w:cols w:space="708"/>
          <w:titlePg/>
          <w:docGrid w:linePitch="360"/>
        </w:sectPr>
      </w:pPr>
    </w:p>
    <w:p w14:paraId="6B3A8815" w14:textId="77777777" w:rsidR="003A61BE" w:rsidRDefault="003A61BE" w:rsidP="003A61BE">
      <w:pPr>
        <w:pStyle w:val="Heading1"/>
        <w:tabs>
          <w:tab w:val="num" w:pos="0"/>
        </w:tabs>
        <w:spacing w:after="240" w:line="240" w:lineRule="auto"/>
        <w:ind w:hanging="1162"/>
      </w:pPr>
      <w:bookmarkStart w:id="12" w:name="_Toc238533654"/>
      <w:bookmarkStart w:id="13" w:name="_Toc238537583"/>
      <w:bookmarkStart w:id="14" w:name="_Toc238538136"/>
      <w:bookmarkStart w:id="15" w:name="_Toc238538151"/>
      <w:bookmarkStart w:id="16" w:name="_Toc410397639"/>
      <w:bookmarkStart w:id="17" w:name="_Toc300822504"/>
      <w:bookmarkStart w:id="18" w:name="_Toc491437335"/>
      <w:bookmarkEnd w:id="12"/>
      <w:bookmarkEnd w:id="13"/>
      <w:bookmarkEnd w:id="14"/>
      <w:bookmarkEnd w:id="15"/>
      <w:r>
        <w:lastRenderedPageBreak/>
        <w:t>1.</w:t>
      </w:r>
      <w:r>
        <w:tab/>
      </w:r>
      <w:bookmarkEnd w:id="16"/>
      <w:r>
        <w:t>Samenvatting</w:t>
      </w:r>
      <w:bookmarkEnd w:id="18"/>
    </w:p>
    <w:p w14:paraId="6B3A8816" w14:textId="77777777" w:rsidR="003A61BE" w:rsidRDefault="003A61BE" w:rsidP="000A13EE">
      <w:pPr>
        <w:pStyle w:val="Heading2"/>
        <w:tabs>
          <w:tab w:val="left" w:pos="-1162"/>
          <w:tab w:val="left" w:pos="0"/>
          <w:tab w:val="num" w:pos="1160"/>
        </w:tabs>
        <w:spacing w:line="240" w:lineRule="auto"/>
        <w:ind w:hanging="1162"/>
      </w:pPr>
      <w:bookmarkStart w:id="19" w:name="_Toc410397640"/>
      <w:bookmarkStart w:id="20" w:name="_Toc491437336"/>
      <w:r>
        <w:t xml:space="preserve">1.1 </w:t>
      </w:r>
      <w:r>
        <w:tab/>
        <w:t>Institutionele aspecten en functioneren</w:t>
      </w:r>
      <w:bookmarkEnd w:id="19"/>
      <w:bookmarkEnd w:id="20"/>
    </w:p>
    <w:p w14:paraId="6B3A8817" w14:textId="647E40F6" w:rsidR="003A61BE" w:rsidRDefault="003A61BE" w:rsidP="003A61BE">
      <w:pPr>
        <w:rPr>
          <w:highlight w:val="yellow"/>
        </w:rPr>
      </w:pPr>
      <w:r w:rsidRPr="005534BA">
        <w:t>De AsDB is een goed functionerende, transparante ontwikkelingsbank</w:t>
      </w:r>
      <w:r>
        <w:t xml:space="preserve">. </w:t>
      </w:r>
      <w:r w:rsidRPr="005534BA">
        <w:t>Ook evaluaties van derden bevestigen het beeld van een goed functionerende ba</w:t>
      </w:r>
      <w:r>
        <w:t xml:space="preserve">nk. </w:t>
      </w:r>
      <w:r w:rsidR="00847437">
        <w:t xml:space="preserve">De </w:t>
      </w:r>
      <w:r w:rsidR="00952803">
        <w:t xml:space="preserve">comparatieve </w:t>
      </w:r>
      <w:r w:rsidR="00847437">
        <w:t xml:space="preserve">meerwaarde van de AsDB </w:t>
      </w:r>
      <w:r w:rsidR="001D12C2">
        <w:t>ligt onder meer in haar focus op grootschalige</w:t>
      </w:r>
      <w:r w:rsidR="00847437">
        <w:t xml:space="preserve"> infrastructuurprojecten,</w:t>
      </w:r>
      <w:r w:rsidR="001D12C2">
        <w:t xml:space="preserve"> regionale integratie en nauwe partnerschappen met haar </w:t>
      </w:r>
      <w:r w:rsidR="001D12C2">
        <w:rPr>
          <w:i/>
        </w:rPr>
        <w:t xml:space="preserve">developing member countries </w:t>
      </w:r>
      <w:r w:rsidR="001D12C2">
        <w:t xml:space="preserve">(de lenende </w:t>
      </w:r>
      <w:r w:rsidR="00461C28">
        <w:t>landen)</w:t>
      </w:r>
      <w:r w:rsidR="00033C91">
        <w:t xml:space="preserve">. Dit </w:t>
      </w:r>
      <w:r w:rsidR="00952803">
        <w:t>geeft de bank een verbindende kracht, waardoor het wordt gezien als een neutralere par</w:t>
      </w:r>
      <w:r w:rsidR="00BC54BD">
        <w:t>t</w:t>
      </w:r>
      <w:r w:rsidR="00952803">
        <w:t>ner dan bilaterale donoren.</w:t>
      </w:r>
      <w:r w:rsidR="00847437">
        <w:t xml:space="preserve"> </w:t>
      </w:r>
      <w:r>
        <w:t xml:space="preserve">De bank </w:t>
      </w:r>
      <w:r w:rsidR="00952803">
        <w:t>is met name sterk in</w:t>
      </w:r>
      <w:r w:rsidRPr="005534BA">
        <w:t xml:space="preserve"> resultaatgericht werken,</w:t>
      </w:r>
      <w:r>
        <w:t xml:space="preserve"> onafhanke</w:t>
      </w:r>
      <w:r w:rsidR="00952803">
        <w:t>lijk evalueren en transparantie</w:t>
      </w:r>
      <w:r>
        <w:t>. Verbeteringen zijn mogelijk op het gebied van personeelsbeleid</w:t>
      </w:r>
      <w:r w:rsidRPr="005534BA">
        <w:t>.</w:t>
      </w:r>
      <w:r>
        <w:t xml:space="preserve"> Verder is het financiële beleid van de AsDB</w:t>
      </w:r>
      <w:r w:rsidR="00863A65">
        <w:t xml:space="preserve"> zeer stabiel maar wel</w:t>
      </w:r>
      <w:r>
        <w:t xml:space="preserve"> aan de conservatieve kant. </w:t>
      </w:r>
    </w:p>
    <w:p w14:paraId="6B3A8818" w14:textId="77777777" w:rsidR="003A61BE" w:rsidRDefault="003A61BE" w:rsidP="003A61BE"/>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8"/>
        <w:gridCol w:w="841"/>
        <w:gridCol w:w="852"/>
      </w:tblGrid>
      <w:tr w:rsidR="003A61BE" w14:paraId="6B3A881C" w14:textId="77777777" w:rsidTr="006F749B">
        <w:tc>
          <w:tcPr>
            <w:tcW w:w="5708" w:type="dxa"/>
            <w:tcBorders>
              <w:top w:val="single" w:sz="12" w:space="0" w:color="auto"/>
              <w:left w:val="single" w:sz="12" w:space="0" w:color="auto"/>
              <w:bottom w:val="single" w:sz="12" w:space="0" w:color="auto"/>
              <w:right w:val="single" w:sz="4" w:space="0" w:color="auto"/>
            </w:tcBorders>
            <w:shd w:val="clear" w:color="auto" w:fill="BFBFBF" w:themeFill="background1" w:themeFillShade="BF"/>
          </w:tcPr>
          <w:p w14:paraId="6B3A8819" w14:textId="77777777" w:rsidR="003A61BE" w:rsidRDefault="003A61BE" w:rsidP="003868C6">
            <w:r w:rsidRPr="008F1B70">
              <w:rPr>
                <w:b/>
              </w:rPr>
              <w:t xml:space="preserve">Institutionele aspecten </w:t>
            </w:r>
            <w:r>
              <w:rPr>
                <w:b/>
              </w:rPr>
              <w:t>en functioneren</w:t>
            </w:r>
          </w:p>
        </w:tc>
        <w:tc>
          <w:tcPr>
            <w:tcW w:w="841" w:type="dxa"/>
            <w:tcBorders>
              <w:top w:val="single" w:sz="12" w:space="0" w:color="auto"/>
              <w:left w:val="single" w:sz="4" w:space="0" w:color="auto"/>
              <w:bottom w:val="single" w:sz="12" w:space="0" w:color="auto"/>
              <w:right w:val="single" w:sz="4" w:space="0" w:color="auto"/>
            </w:tcBorders>
            <w:shd w:val="clear" w:color="auto" w:fill="BFBFBF" w:themeFill="background1" w:themeFillShade="BF"/>
          </w:tcPr>
          <w:p w14:paraId="6B3A881A" w14:textId="77777777" w:rsidR="003A61BE" w:rsidRDefault="003A61BE" w:rsidP="003868C6">
            <w:r>
              <w:t>Score</w:t>
            </w:r>
          </w:p>
        </w:tc>
        <w:tc>
          <w:tcPr>
            <w:tcW w:w="852" w:type="dxa"/>
            <w:tcBorders>
              <w:top w:val="single" w:sz="12" w:space="0" w:color="auto"/>
              <w:left w:val="single" w:sz="4" w:space="0" w:color="auto"/>
              <w:bottom w:val="single" w:sz="12" w:space="0" w:color="auto"/>
              <w:right w:val="single" w:sz="12" w:space="0" w:color="auto"/>
            </w:tcBorders>
            <w:shd w:val="clear" w:color="auto" w:fill="BFBFBF" w:themeFill="background1" w:themeFillShade="BF"/>
          </w:tcPr>
          <w:p w14:paraId="6B3A881B" w14:textId="77777777" w:rsidR="003A61BE" w:rsidRDefault="003A61BE" w:rsidP="003868C6">
            <w:r>
              <w:t>Verandering</w:t>
            </w:r>
          </w:p>
        </w:tc>
      </w:tr>
      <w:tr w:rsidR="003A61BE" w14:paraId="6B3A8820" w14:textId="77777777" w:rsidTr="003A61BE">
        <w:tc>
          <w:tcPr>
            <w:tcW w:w="5708" w:type="dxa"/>
            <w:tcBorders>
              <w:top w:val="single" w:sz="12" w:space="0" w:color="auto"/>
              <w:left w:val="single" w:sz="12" w:space="0" w:color="auto"/>
            </w:tcBorders>
            <w:shd w:val="clear" w:color="auto" w:fill="auto"/>
          </w:tcPr>
          <w:p w14:paraId="6B3A881D" w14:textId="77777777" w:rsidR="003A61BE" w:rsidRPr="00C26035" w:rsidRDefault="003A61BE" w:rsidP="003868C6">
            <w:r>
              <w:t>Strategie en verantwoording</w:t>
            </w:r>
            <w:r w:rsidRPr="00C26035">
              <w:t xml:space="preserve"> </w:t>
            </w:r>
          </w:p>
        </w:tc>
        <w:tc>
          <w:tcPr>
            <w:tcW w:w="841" w:type="dxa"/>
            <w:tcBorders>
              <w:top w:val="single" w:sz="12" w:space="0" w:color="auto"/>
            </w:tcBorders>
            <w:shd w:val="clear" w:color="auto" w:fill="auto"/>
            <w:vAlign w:val="center"/>
          </w:tcPr>
          <w:p w14:paraId="6B3A881E" w14:textId="77777777" w:rsidR="003A61BE" w:rsidRDefault="003A61BE" w:rsidP="003868C6">
            <w:pPr>
              <w:jc w:val="center"/>
            </w:pPr>
            <w:r>
              <w:t>3</w:t>
            </w:r>
          </w:p>
        </w:tc>
        <w:tc>
          <w:tcPr>
            <w:tcW w:w="852" w:type="dxa"/>
            <w:tcBorders>
              <w:top w:val="single" w:sz="12" w:space="0" w:color="auto"/>
              <w:right w:val="single" w:sz="12" w:space="0" w:color="auto"/>
            </w:tcBorders>
            <w:shd w:val="clear" w:color="auto" w:fill="auto"/>
            <w:vAlign w:val="center"/>
          </w:tcPr>
          <w:p w14:paraId="6B3A881F" w14:textId="77777777" w:rsidR="003A61BE" w:rsidRDefault="003A61BE" w:rsidP="003868C6">
            <w:pPr>
              <w:jc w:val="center"/>
            </w:pPr>
            <w:r w:rsidRPr="00193994">
              <w:sym w:font="Wingdings" w:char="F0E8"/>
            </w:r>
          </w:p>
        </w:tc>
      </w:tr>
      <w:tr w:rsidR="003A61BE" w14:paraId="6B3A8824" w14:textId="77777777" w:rsidTr="003A61BE">
        <w:tc>
          <w:tcPr>
            <w:tcW w:w="5708" w:type="dxa"/>
            <w:tcBorders>
              <w:left w:val="single" w:sz="12" w:space="0" w:color="auto"/>
            </w:tcBorders>
            <w:shd w:val="clear" w:color="auto" w:fill="auto"/>
          </w:tcPr>
          <w:p w14:paraId="6B3A8821" w14:textId="77777777" w:rsidR="003A61BE" w:rsidRDefault="003A61BE" w:rsidP="003868C6">
            <w:r>
              <w:t>Resultaatgerichtheid en transparantie</w:t>
            </w:r>
          </w:p>
        </w:tc>
        <w:tc>
          <w:tcPr>
            <w:tcW w:w="841" w:type="dxa"/>
            <w:shd w:val="clear" w:color="auto" w:fill="auto"/>
            <w:vAlign w:val="center"/>
          </w:tcPr>
          <w:p w14:paraId="6B3A8822" w14:textId="77777777" w:rsidR="003A61BE" w:rsidRDefault="003A61BE" w:rsidP="003868C6">
            <w:pPr>
              <w:jc w:val="center"/>
            </w:pPr>
            <w:r>
              <w:t>4</w:t>
            </w:r>
          </w:p>
        </w:tc>
        <w:tc>
          <w:tcPr>
            <w:tcW w:w="852" w:type="dxa"/>
            <w:tcBorders>
              <w:right w:val="single" w:sz="12" w:space="0" w:color="auto"/>
            </w:tcBorders>
            <w:shd w:val="clear" w:color="auto" w:fill="auto"/>
            <w:vAlign w:val="center"/>
          </w:tcPr>
          <w:p w14:paraId="6B3A8823" w14:textId="77777777" w:rsidR="003A61BE" w:rsidRDefault="003A61BE" w:rsidP="003868C6">
            <w:pPr>
              <w:jc w:val="center"/>
            </w:pPr>
            <w:r w:rsidRPr="00193994">
              <w:sym w:font="Wingdings" w:char="F0E8"/>
            </w:r>
          </w:p>
        </w:tc>
      </w:tr>
      <w:tr w:rsidR="003A61BE" w14:paraId="6B3A8828" w14:textId="77777777" w:rsidTr="003A61BE">
        <w:tc>
          <w:tcPr>
            <w:tcW w:w="5708" w:type="dxa"/>
            <w:tcBorders>
              <w:left w:val="single" w:sz="12" w:space="0" w:color="auto"/>
            </w:tcBorders>
            <w:shd w:val="clear" w:color="auto" w:fill="auto"/>
          </w:tcPr>
          <w:p w14:paraId="6B3A8825" w14:textId="77777777" w:rsidR="003A61BE" w:rsidRDefault="003A61BE" w:rsidP="003868C6">
            <w:r>
              <w:t>Partnerschappen</w:t>
            </w:r>
          </w:p>
        </w:tc>
        <w:tc>
          <w:tcPr>
            <w:tcW w:w="841" w:type="dxa"/>
            <w:shd w:val="clear" w:color="auto" w:fill="auto"/>
            <w:vAlign w:val="center"/>
          </w:tcPr>
          <w:p w14:paraId="6B3A8826" w14:textId="77777777" w:rsidR="003A61BE" w:rsidRDefault="003A61BE" w:rsidP="003868C6">
            <w:pPr>
              <w:jc w:val="center"/>
            </w:pPr>
            <w:r>
              <w:t>3</w:t>
            </w:r>
          </w:p>
        </w:tc>
        <w:tc>
          <w:tcPr>
            <w:tcW w:w="852" w:type="dxa"/>
            <w:tcBorders>
              <w:right w:val="single" w:sz="12" w:space="0" w:color="auto"/>
            </w:tcBorders>
            <w:shd w:val="clear" w:color="auto" w:fill="auto"/>
            <w:vAlign w:val="center"/>
          </w:tcPr>
          <w:p w14:paraId="6B3A8827" w14:textId="77777777" w:rsidR="003A61BE" w:rsidRDefault="003A61BE" w:rsidP="003868C6">
            <w:pPr>
              <w:jc w:val="center"/>
            </w:pPr>
            <w:r w:rsidRPr="00193994">
              <w:sym w:font="Wingdings" w:char="F0E9"/>
            </w:r>
          </w:p>
        </w:tc>
      </w:tr>
      <w:tr w:rsidR="003A61BE" w14:paraId="6B3A882C" w14:textId="77777777" w:rsidTr="003A61BE">
        <w:tc>
          <w:tcPr>
            <w:tcW w:w="5708" w:type="dxa"/>
            <w:tcBorders>
              <w:left w:val="single" w:sz="12" w:space="0" w:color="auto"/>
            </w:tcBorders>
            <w:shd w:val="clear" w:color="auto" w:fill="auto"/>
          </w:tcPr>
          <w:p w14:paraId="6B3A8829" w14:textId="77777777" w:rsidR="003A61BE" w:rsidRPr="00C26035" w:rsidRDefault="003A61BE" w:rsidP="003868C6">
            <w:r>
              <w:t>Operationeel management</w:t>
            </w:r>
          </w:p>
        </w:tc>
        <w:tc>
          <w:tcPr>
            <w:tcW w:w="841" w:type="dxa"/>
            <w:shd w:val="clear" w:color="auto" w:fill="auto"/>
            <w:vAlign w:val="center"/>
          </w:tcPr>
          <w:p w14:paraId="6B3A882A" w14:textId="77777777" w:rsidR="003A61BE" w:rsidRDefault="003A61BE" w:rsidP="003868C6">
            <w:pPr>
              <w:jc w:val="center"/>
            </w:pPr>
            <w:r>
              <w:t>3</w:t>
            </w:r>
          </w:p>
        </w:tc>
        <w:tc>
          <w:tcPr>
            <w:tcW w:w="852" w:type="dxa"/>
            <w:tcBorders>
              <w:right w:val="single" w:sz="12" w:space="0" w:color="auto"/>
            </w:tcBorders>
            <w:shd w:val="clear" w:color="auto" w:fill="auto"/>
            <w:vAlign w:val="center"/>
          </w:tcPr>
          <w:p w14:paraId="6B3A882B" w14:textId="77777777" w:rsidR="003A61BE" w:rsidRDefault="003A61BE" w:rsidP="003868C6">
            <w:pPr>
              <w:jc w:val="center"/>
            </w:pPr>
            <w:r w:rsidRPr="00193994">
              <w:sym w:font="Wingdings" w:char="F0E8"/>
            </w:r>
          </w:p>
        </w:tc>
      </w:tr>
      <w:tr w:rsidR="003A61BE" w14:paraId="6B3A8830" w14:textId="77777777" w:rsidTr="003A61BE">
        <w:tc>
          <w:tcPr>
            <w:tcW w:w="5708" w:type="dxa"/>
            <w:tcBorders>
              <w:left w:val="single" w:sz="12" w:space="0" w:color="auto"/>
            </w:tcBorders>
            <w:shd w:val="clear" w:color="auto" w:fill="auto"/>
          </w:tcPr>
          <w:p w14:paraId="6B3A882D" w14:textId="77777777" w:rsidR="003A61BE" w:rsidRPr="00C26035" w:rsidRDefault="003A61BE" w:rsidP="003868C6">
            <w:r>
              <w:t>Beleidsevaluatie</w:t>
            </w:r>
          </w:p>
        </w:tc>
        <w:tc>
          <w:tcPr>
            <w:tcW w:w="841" w:type="dxa"/>
            <w:shd w:val="clear" w:color="auto" w:fill="auto"/>
            <w:vAlign w:val="center"/>
          </w:tcPr>
          <w:p w14:paraId="6B3A882E" w14:textId="77777777" w:rsidR="003A61BE" w:rsidRDefault="003A61BE" w:rsidP="003868C6">
            <w:pPr>
              <w:jc w:val="center"/>
            </w:pPr>
            <w:r>
              <w:t>4</w:t>
            </w:r>
          </w:p>
        </w:tc>
        <w:tc>
          <w:tcPr>
            <w:tcW w:w="852" w:type="dxa"/>
            <w:tcBorders>
              <w:right w:val="single" w:sz="12" w:space="0" w:color="auto"/>
            </w:tcBorders>
            <w:shd w:val="clear" w:color="auto" w:fill="auto"/>
            <w:vAlign w:val="center"/>
          </w:tcPr>
          <w:p w14:paraId="6B3A882F" w14:textId="77777777" w:rsidR="003A61BE" w:rsidRDefault="003A61BE" w:rsidP="003868C6">
            <w:pPr>
              <w:jc w:val="center"/>
            </w:pPr>
            <w:r w:rsidRPr="00193994">
              <w:sym w:font="Wingdings" w:char="F0E8"/>
            </w:r>
          </w:p>
        </w:tc>
      </w:tr>
      <w:tr w:rsidR="003A61BE" w14:paraId="6B3A8834" w14:textId="77777777" w:rsidTr="003A61BE">
        <w:tc>
          <w:tcPr>
            <w:tcW w:w="5708" w:type="dxa"/>
            <w:tcBorders>
              <w:left w:val="single" w:sz="12" w:space="0" w:color="auto"/>
            </w:tcBorders>
            <w:shd w:val="clear" w:color="auto" w:fill="auto"/>
          </w:tcPr>
          <w:p w14:paraId="6B3A8831" w14:textId="77777777" w:rsidR="003A61BE" w:rsidRPr="00C26035" w:rsidRDefault="003A61BE" w:rsidP="003868C6">
            <w:r w:rsidRPr="00C26035">
              <w:t>Human Resource Management</w:t>
            </w:r>
          </w:p>
        </w:tc>
        <w:tc>
          <w:tcPr>
            <w:tcW w:w="841" w:type="dxa"/>
            <w:shd w:val="clear" w:color="auto" w:fill="auto"/>
            <w:vAlign w:val="center"/>
          </w:tcPr>
          <w:p w14:paraId="6B3A8832" w14:textId="6406A4A7" w:rsidR="003A61BE" w:rsidRDefault="00AF7B1A" w:rsidP="003868C6">
            <w:pPr>
              <w:jc w:val="center"/>
            </w:pPr>
            <w:r>
              <w:t>2</w:t>
            </w:r>
          </w:p>
        </w:tc>
        <w:tc>
          <w:tcPr>
            <w:tcW w:w="852" w:type="dxa"/>
            <w:tcBorders>
              <w:right w:val="single" w:sz="12" w:space="0" w:color="auto"/>
            </w:tcBorders>
            <w:shd w:val="clear" w:color="auto" w:fill="auto"/>
            <w:vAlign w:val="center"/>
          </w:tcPr>
          <w:p w14:paraId="6B3A8833" w14:textId="11B318ED" w:rsidR="003A61BE" w:rsidRDefault="00AF7B1A" w:rsidP="003868C6">
            <w:pPr>
              <w:jc w:val="center"/>
            </w:pPr>
            <w:r>
              <w:rPr>
                <w:rFonts w:ascii="Segoe UI Emoji" w:eastAsia="Segoe UI Emoji" w:hAnsi="Segoe UI Emoji" w:cs="Segoe UI Emoji"/>
                <w:b/>
              </w:rPr>
              <w:sym w:font="Wingdings" w:char="F0EA"/>
            </w:r>
          </w:p>
        </w:tc>
      </w:tr>
      <w:tr w:rsidR="003A61BE" w14:paraId="6B3A8838" w14:textId="77777777" w:rsidTr="003A61BE">
        <w:tc>
          <w:tcPr>
            <w:tcW w:w="5708" w:type="dxa"/>
            <w:tcBorders>
              <w:left w:val="single" w:sz="12" w:space="0" w:color="auto"/>
            </w:tcBorders>
            <w:shd w:val="clear" w:color="auto" w:fill="auto"/>
          </w:tcPr>
          <w:p w14:paraId="6B3A8835" w14:textId="77777777" w:rsidR="003A61BE" w:rsidRPr="00445FEE" w:rsidRDefault="003A61BE" w:rsidP="003868C6">
            <w:r w:rsidRPr="00445FEE">
              <w:t xml:space="preserve">Financiële </w:t>
            </w:r>
            <w:r>
              <w:t>stabiliteit</w:t>
            </w:r>
          </w:p>
        </w:tc>
        <w:tc>
          <w:tcPr>
            <w:tcW w:w="841" w:type="dxa"/>
            <w:shd w:val="clear" w:color="auto" w:fill="auto"/>
            <w:vAlign w:val="center"/>
          </w:tcPr>
          <w:p w14:paraId="6B3A8836" w14:textId="0FA13592" w:rsidR="003A61BE" w:rsidRDefault="0045548F" w:rsidP="003868C6">
            <w:pPr>
              <w:jc w:val="center"/>
            </w:pPr>
            <w:r>
              <w:t>4</w:t>
            </w:r>
          </w:p>
        </w:tc>
        <w:tc>
          <w:tcPr>
            <w:tcW w:w="852" w:type="dxa"/>
            <w:tcBorders>
              <w:right w:val="single" w:sz="12" w:space="0" w:color="auto"/>
            </w:tcBorders>
            <w:shd w:val="clear" w:color="auto" w:fill="auto"/>
            <w:vAlign w:val="center"/>
          </w:tcPr>
          <w:p w14:paraId="6B3A8837" w14:textId="77777777" w:rsidR="003A61BE" w:rsidRDefault="003A61BE" w:rsidP="003868C6">
            <w:pPr>
              <w:jc w:val="center"/>
            </w:pPr>
            <w:r w:rsidRPr="00193994">
              <w:sym w:font="Wingdings" w:char="F0E8"/>
            </w:r>
          </w:p>
        </w:tc>
      </w:tr>
      <w:tr w:rsidR="003A61BE" w14:paraId="6B3A883C" w14:textId="77777777" w:rsidTr="003A61BE">
        <w:tc>
          <w:tcPr>
            <w:tcW w:w="5708" w:type="dxa"/>
            <w:tcBorders>
              <w:left w:val="single" w:sz="12" w:space="0" w:color="auto"/>
            </w:tcBorders>
            <w:shd w:val="clear" w:color="auto" w:fill="auto"/>
          </w:tcPr>
          <w:p w14:paraId="6B3A8839" w14:textId="2A269A13" w:rsidR="003A61BE" w:rsidRPr="00445FEE" w:rsidRDefault="003A61BE" w:rsidP="00620754">
            <w:r>
              <w:t>Kosten</w:t>
            </w:r>
            <w:r w:rsidR="00620754">
              <w:t>reductie</w:t>
            </w:r>
          </w:p>
        </w:tc>
        <w:tc>
          <w:tcPr>
            <w:tcW w:w="841" w:type="dxa"/>
            <w:shd w:val="clear" w:color="auto" w:fill="auto"/>
            <w:vAlign w:val="center"/>
          </w:tcPr>
          <w:p w14:paraId="6B3A883A" w14:textId="77777777" w:rsidR="003A61BE" w:rsidRDefault="003A61BE" w:rsidP="003868C6">
            <w:pPr>
              <w:jc w:val="center"/>
            </w:pPr>
            <w:r>
              <w:t>3</w:t>
            </w:r>
          </w:p>
        </w:tc>
        <w:tc>
          <w:tcPr>
            <w:tcW w:w="852" w:type="dxa"/>
            <w:tcBorders>
              <w:right w:val="single" w:sz="12" w:space="0" w:color="auto"/>
            </w:tcBorders>
            <w:shd w:val="clear" w:color="auto" w:fill="auto"/>
            <w:vAlign w:val="center"/>
          </w:tcPr>
          <w:p w14:paraId="6B3A883B" w14:textId="77777777" w:rsidR="003A61BE" w:rsidRDefault="003A61BE" w:rsidP="003868C6">
            <w:pPr>
              <w:jc w:val="center"/>
            </w:pPr>
            <w:r w:rsidRPr="00193994">
              <w:sym w:font="Wingdings" w:char="F0E8"/>
            </w:r>
          </w:p>
        </w:tc>
      </w:tr>
      <w:tr w:rsidR="003A61BE" w14:paraId="6B3A8840" w14:textId="77777777" w:rsidTr="003A61BE">
        <w:tc>
          <w:tcPr>
            <w:tcW w:w="5708" w:type="dxa"/>
            <w:tcBorders>
              <w:left w:val="single" w:sz="12" w:space="0" w:color="auto"/>
              <w:bottom w:val="single" w:sz="12" w:space="0" w:color="auto"/>
            </w:tcBorders>
            <w:shd w:val="clear" w:color="auto" w:fill="auto"/>
          </w:tcPr>
          <w:p w14:paraId="6B3A883D" w14:textId="2F954B4F" w:rsidR="003A61BE" w:rsidRPr="00445FEE" w:rsidRDefault="00E5538F" w:rsidP="003868C6">
            <w:r>
              <w:t>Corruptiebestrijding</w:t>
            </w:r>
          </w:p>
        </w:tc>
        <w:tc>
          <w:tcPr>
            <w:tcW w:w="841" w:type="dxa"/>
            <w:tcBorders>
              <w:bottom w:val="single" w:sz="12" w:space="0" w:color="auto"/>
            </w:tcBorders>
            <w:shd w:val="clear" w:color="auto" w:fill="auto"/>
            <w:vAlign w:val="center"/>
          </w:tcPr>
          <w:p w14:paraId="6B3A883E" w14:textId="77777777" w:rsidR="003A61BE" w:rsidRDefault="003A61BE" w:rsidP="003868C6">
            <w:pPr>
              <w:jc w:val="center"/>
            </w:pPr>
            <w:r>
              <w:t>4</w:t>
            </w:r>
          </w:p>
        </w:tc>
        <w:tc>
          <w:tcPr>
            <w:tcW w:w="852" w:type="dxa"/>
            <w:tcBorders>
              <w:bottom w:val="single" w:sz="12" w:space="0" w:color="auto"/>
              <w:right w:val="single" w:sz="12" w:space="0" w:color="auto"/>
            </w:tcBorders>
            <w:shd w:val="clear" w:color="auto" w:fill="auto"/>
            <w:vAlign w:val="center"/>
          </w:tcPr>
          <w:p w14:paraId="6B3A883F" w14:textId="77777777" w:rsidR="003A61BE" w:rsidRDefault="003A61BE" w:rsidP="003868C6">
            <w:pPr>
              <w:jc w:val="center"/>
            </w:pPr>
            <w:r w:rsidRPr="00193994">
              <w:sym w:font="Wingdings" w:char="F0E8"/>
            </w:r>
          </w:p>
        </w:tc>
      </w:tr>
    </w:tbl>
    <w:p w14:paraId="6B3A8841" w14:textId="77777777" w:rsidR="003A61BE" w:rsidRDefault="003A61BE" w:rsidP="003A61BE"/>
    <w:p w14:paraId="6B3A8842" w14:textId="77777777" w:rsidR="003A61BE" w:rsidRPr="00193994" w:rsidRDefault="003A61BE" w:rsidP="003A61BE">
      <w:pPr>
        <w:ind w:firstLine="227"/>
      </w:pPr>
      <w:r w:rsidRPr="00193994">
        <w:t xml:space="preserve">Beoordeling: </w:t>
      </w:r>
      <w:r>
        <w:t>Onvoldoende = 1, Matig = 2, Voldoende = 3, Goed</w:t>
      </w:r>
      <w:r w:rsidRPr="00193994">
        <w:t xml:space="preserve"> = 4</w:t>
      </w:r>
    </w:p>
    <w:p w14:paraId="6B3A8843" w14:textId="261EBB6D" w:rsidR="003A61BE" w:rsidRDefault="003A61BE" w:rsidP="003A61BE">
      <w:pPr>
        <w:ind w:firstLine="227"/>
        <w:rPr>
          <w:rFonts w:ascii="Segoe UI Emoji" w:eastAsia="Segoe UI Emoji" w:hAnsi="Segoe UI Emoji" w:cs="Segoe UI Emoji"/>
          <w:b/>
          <w:noProof/>
        </w:rPr>
      </w:pPr>
      <w:r w:rsidRPr="00193994">
        <w:t>Ver</w:t>
      </w:r>
      <w:r>
        <w:t>andering sinds 2015: Neutraal</w:t>
      </w:r>
      <w:r w:rsidRPr="00193994">
        <w:t xml:space="preserve"> = </w:t>
      </w:r>
      <w:r w:rsidRPr="00193994">
        <w:sym w:font="Wingdings" w:char="F0E8"/>
      </w:r>
      <w:r>
        <w:t xml:space="preserve">, Positief = </w:t>
      </w:r>
      <w:r w:rsidRPr="00193994">
        <w:sym w:font="Wingdings" w:char="F0E9"/>
      </w:r>
      <w:r>
        <w:t xml:space="preserve">, Negatief = </w:t>
      </w:r>
      <w:r w:rsidRPr="00DC2083">
        <w:rPr>
          <w:rFonts w:ascii="Segoe UI Emoji" w:eastAsia="Segoe UI Emoji" w:hAnsi="Segoe UI Emoji" w:cs="Segoe UI Emoji"/>
          <w:b/>
          <w:noProof/>
        </w:rPr>
        <w:sym w:font="Wingdings" w:char="F0EA"/>
      </w:r>
    </w:p>
    <w:p w14:paraId="040902DE" w14:textId="77777777" w:rsidR="00514A54" w:rsidRPr="00164384" w:rsidRDefault="00514A54" w:rsidP="003A61BE">
      <w:pPr>
        <w:ind w:firstLine="227"/>
      </w:pPr>
    </w:p>
    <w:p w14:paraId="6B3A8844" w14:textId="77777777" w:rsidR="003A61BE" w:rsidRDefault="003A61BE" w:rsidP="000A13EE">
      <w:pPr>
        <w:pStyle w:val="Heading2"/>
        <w:tabs>
          <w:tab w:val="left" w:pos="-1162"/>
          <w:tab w:val="left" w:pos="0"/>
          <w:tab w:val="num" w:pos="1160"/>
        </w:tabs>
        <w:spacing w:line="240" w:lineRule="auto"/>
        <w:ind w:hanging="1162"/>
      </w:pPr>
      <w:bookmarkStart w:id="21" w:name="_Toc410397641"/>
      <w:bookmarkStart w:id="22" w:name="_Toc491437337"/>
      <w:r>
        <w:t xml:space="preserve">1.2 </w:t>
      </w:r>
      <w:r>
        <w:tab/>
        <w:t>Beleidsrelevantie</w:t>
      </w:r>
      <w:bookmarkEnd w:id="21"/>
      <w:bookmarkEnd w:id="22"/>
    </w:p>
    <w:p w14:paraId="6B3A8845" w14:textId="77777777" w:rsidR="003A61BE" w:rsidRDefault="003A61BE" w:rsidP="003A61BE">
      <w:r w:rsidRPr="00EC777A">
        <w:t>De AsDB is een belangrijke instell</w:t>
      </w:r>
      <w:r>
        <w:t xml:space="preserve">ing voor duurzame </w:t>
      </w:r>
      <w:r w:rsidRPr="00EC777A">
        <w:t xml:space="preserve">economische groei in Azië en de </w:t>
      </w:r>
      <w:r w:rsidRPr="00EC777A">
        <w:rPr>
          <w:i/>
        </w:rPr>
        <w:t>Pacific</w:t>
      </w:r>
      <w:r w:rsidRPr="00EC777A">
        <w:t xml:space="preserve">. Met name op de gebieden van water, </w:t>
      </w:r>
      <w:r>
        <w:t>voedselzekerheid</w:t>
      </w:r>
      <w:r w:rsidRPr="00EC777A">
        <w:t xml:space="preserve">, klimaat en gendergelijkheid sluit de Bank goed aan bij het Nederlandse BHOS-beleid. </w:t>
      </w:r>
      <w:r>
        <w:t xml:space="preserve">Daarnaast vervult de Bank een belangrijke rol in de regio in het stimuleren van regionale samenwerking en economische integratie en bevorderen van goed </w:t>
      </w:r>
      <w:r w:rsidR="000A13EE">
        <w:t xml:space="preserve">publiek financieel management. </w:t>
      </w:r>
    </w:p>
    <w:p w14:paraId="6B3A8846" w14:textId="77777777" w:rsidR="000A13EE" w:rsidRDefault="000A13EE" w:rsidP="003A61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1329"/>
        <w:gridCol w:w="1582"/>
        <w:gridCol w:w="1256"/>
      </w:tblGrid>
      <w:tr w:rsidR="003A61BE" w14:paraId="6B3A884B" w14:textId="77777777" w:rsidTr="006F749B">
        <w:tc>
          <w:tcPr>
            <w:tcW w:w="353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6B3A8847" w14:textId="77777777" w:rsidR="003A61BE" w:rsidRDefault="003A61BE" w:rsidP="003868C6">
            <w:pPr>
              <w:jc w:val="right"/>
            </w:pPr>
          </w:p>
        </w:tc>
        <w:tc>
          <w:tcPr>
            <w:tcW w:w="1329" w:type="dxa"/>
            <w:tcBorders>
              <w:top w:val="single" w:sz="12" w:space="0" w:color="auto"/>
              <w:left w:val="single" w:sz="12" w:space="0" w:color="auto"/>
              <w:bottom w:val="single" w:sz="12" w:space="0" w:color="auto"/>
              <w:right w:val="single" w:sz="4" w:space="0" w:color="auto"/>
            </w:tcBorders>
            <w:shd w:val="clear" w:color="auto" w:fill="BFBFBF" w:themeFill="background1" w:themeFillShade="BF"/>
          </w:tcPr>
          <w:p w14:paraId="6B3A8848" w14:textId="77777777" w:rsidR="003A61BE" w:rsidRPr="00D94DB4" w:rsidRDefault="003A61BE" w:rsidP="003868C6">
            <w:pPr>
              <w:rPr>
                <w:b/>
              </w:rPr>
            </w:pPr>
            <w:r w:rsidRPr="00D94DB4">
              <w:rPr>
                <w:b/>
              </w:rPr>
              <w:t>Uitvoerend</w:t>
            </w:r>
          </w:p>
        </w:tc>
        <w:tc>
          <w:tcPr>
            <w:tcW w:w="1582" w:type="dxa"/>
            <w:tcBorders>
              <w:top w:val="single" w:sz="12" w:space="0" w:color="auto"/>
              <w:left w:val="single" w:sz="4" w:space="0" w:color="auto"/>
              <w:bottom w:val="single" w:sz="4" w:space="0" w:color="auto"/>
              <w:right w:val="single" w:sz="4" w:space="0" w:color="auto"/>
            </w:tcBorders>
            <w:shd w:val="clear" w:color="auto" w:fill="BFBFBF" w:themeFill="background1" w:themeFillShade="BF"/>
          </w:tcPr>
          <w:p w14:paraId="6B3A8849" w14:textId="77777777" w:rsidR="003A61BE" w:rsidRPr="00D94DB4" w:rsidRDefault="003A61BE" w:rsidP="003868C6">
            <w:pPr>
              <w:rPr>
                <w:b/>
              </w:rPr>
            </w:pPr>
            <w:r w:rsidRPr="00D94DB4">
              <w:rPr>
                <w:b/>
              </w:rPr>
              <w:t>Coördinerend</w:t>
            </w:r>
          </w:p>
        </w:tc>
        <w:tc>
          <w:tcPr>
            <w:tcW w:w="1256" w:type="dxa"/>
            <w:tcBorders>
              <w:top w:val="single" w:sz="12" w:space="0" w:color="auto"/>
              <w:left w:val="single" w:sz="4" w:space="0" w:color="auto"/>
              <w:right w:val="single" w:sz="12" w:space="0" w:color="auto"/>
            </w:tcBorders>
            <w:shd w:val="clear" w:color="auto" w:fill="BFBFBF" w:themeFill="background1" w:themeFillShade="BF"/>
          </w:tcPr>
          <w:p w14:paraId="6B3A884A" w14:textId="77777777" w:rsidR="003A61BE" w:rsidRPr="00D94DB4" w:rsidRDefault="003A61BE" w:rsidP="003868C6">
            <w:pPr>
              <w:rPr>
                <w:b/>
              </w:rPr>
            </w:pPr>
            <w:r w:rsidRPr="00D94DB4">
              <w:rPr>
                <w:b/>
              </w:rPr>
              <w:t>Normatief</w:t>
            </w:r>
          </w:p>
        </w:tc>
      </w:tr>
      <w:tr w:rsidR="003A61BE" w14:paraId="6B3A884D" w14:textId="77777777" w:rsidTr="006F749B">
        <w:tc>
          <w:tcPr>
            <w:tcW w:w="7943"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6B3A884C" w14:textId="77777777" w:rsidR="003A61BE" w:rsidRPr="00D94DB4" w:rsidRDefault="003A61BE" w:rsidP="003868C6">
            <w:pPr>
              <w:rPr>
                <w:b/>
              </w:rPr>
            </w:pPr>
            <w:r>
              <w:rPr>
                <w:b/>
              </w:rPr>
              <w:t>Relevantie voor de Nederlandse BHOS-prioriteiten</w:t>
            </w:r>
          </w:p>
        </w:tc>
      </w:tr>
      <w:tr w:rsidR="003A61BE" w14:paraId="6B3A8852" w14:textId="77777777" w:rsidTr="000A13EE">
        <w:tc>
          <w:tcPr>
            <w:tcW w:w="3936" w:type="dxa"/>
            <w:tcBorders>
              <w:top w:val="single" w:sz="12" w:space="0" w:color="auto"/>
              <w:left w:val="single" w:sz="12" w:space="0" w:color="auto"/>
            </w:tcBorders>
            <w:shd w:val="clear" w:color="auto" w:fill="auto"/>
          </w:tcPr>
          <w:p w14:paraId="6B3A884E" w14:textId="77777777" w:rsidR="003A61BE" w:rsidRDefault="003A61BE" w:rsidP="003868C6">
            <w:r>
              <w:t>Voedselzekerheid</w:t>
            </w:r>
          </w:p>
        </w:tc>
        <w:tc>
          <w:tcPr>
            <w:tcW w:w="1163" w:type="dxa"/>
            <w:tcBorders>
              <w:top w:val="single" w:sz="12" w:space="0" w:color="auto"/>
            </w:tcBorders>
            <w:shd w:val="clear" w:color="auto" w:fill="auto"/>
          </w:tcPr>
          <w:p w14:paraId="6B3A884F" w14:textId="77777777" w:rsidR="003A61BE" w:rsidRDefault="003A61BE" w:rsidP="0006157C">
            <w:pPr>
              <w:jc w:val="center"/>
            </w:pPr>
            <w:r>
              <w:t>3</w:t>
            </w:r>
          </w:p>
        </w:tc>
        <w:tc>
          <w:tcPr>
            <w:tcW w:w="1582" w:type="dxa"/>
            <w:tcBorders>
              <w:top w:val="single" w:sz="12" w:space="0" w:color="auto"/>
            </w:tcBorders>
            <w:shd w:val="clear" w:color="auto" w:fill="auto"/>
          </w:tcPr>
          <w:p w14:paraId="6B3A8850" w14:textId="77777777" w:rsidR="003A61BE" w:rsidRDefault="003A61BE" w:rsidP="003868C6"/>
        </w:tc>
        <w:tc>
          <w:tcPr>
            <w:tcW w:w="1262" w:type="dxa"/>
            <w:tcBorders>
              <w:top w:val="single" w:sz="12" w:space="0" w:color="auto"/>
              <w:right w:val="single" w:sz="12" w:space="0" w:color="auto"/>
            </w:tcBorders>
            <w:shd w:val="clear" w:color="auto" w:fill="auto"/>
          </w:tcPr>
          <w:p w14:paraId="6B3A8851" w14:textId="77777777" w:rsidR="003A61BE" w:rsidRDefault="003A61BE" w:rsidP="003868C6"/>
        </w:tc>
      </w:tr>
      <w:tr w:rsidR="003A61BE" w14:paraId="6B3A8857" w14:textId="77777777" w:rsidTr="000A13EE">
        <w:tc>
          <w:tcPr>
            <w:tcW w:w="3936" w:type="dxa"/>
            <w:tcBorders>
              <w:left w:val="single" w:sz="12" w:space="0" w:color="auto"/>
            </w:tcBorders>
            <w:shd w:val="clear" w:color="auto" w:fill="auto"/>
          </w:tcPr>
          <w:p w14:paraId="6B3A8853" w14:textId="77777777" w:rsidR="003A61BE" w:rsidRDefault="003A61BE" w:rsidP="003868C6">
            <w:r>
              <w:t>Water</w:t>
            </w:r>
          </w:p>
        </w:tc>
        <w:tc>
          <w:tcPr>
            <w:tcW w:w="1163" w:type="dxa"/>
            <w:shd w:val="clear" w:color="auto" w:fill="auto"/>
          </w:tcPr>
          <w:p w14:paraId="6B3A8854" w14:textId="77777777" w:rsidR="003A61BE" w:rsidRDefault="003A61BE" w:rsidP="0006157C">
            <w:pPr>
              <w:jc w:val="center"/>
            </w:pPr>
            <w:r>
              <w:t>3</w:t>
            </w:r>
          </w:p>
        </w:tc>
        <w:tc>
          <w:tcPr>
            <w:tcW w:w="1582" w:type="dxa"/>
            <w:shd w:val="clear" w:color="auto" w:fill="auto"/>
          </w:tcPr>
          <w:p w14:paraId="6B3A8855" w14:textId="77777777" w:rsidR="003A61BE" w:rsidRDefault="003A61BE" w:rsidP="003868C6"/>
        </w:tc>
        <w:tc>
          <w:tcPr>
            <w:tcW w:w="1262" w:type="dxa"/>
            <w:tcBorders>
              <w:right w:val="single" w:sz="12" w:space="0" w:color="auto"/>
            </w:tcBorders>
            <w:shd w:val="clear" w:color="auto" w:fill="auto"/>
          </w:tcPr>
          <w:p w14:paraId="6B3A8856" w14:textId="77777777" w:rsidR="003A61BE" w:rsidRDefault="003A61BE" w:rsidP="003868C6"/>
        </w:tc>
      </w:tr>
      <w:tr w:rsidR="003A61BE" w14:paraId="6B3A885C" w14:textId="77777777" w:rsidTr="000A13EE">
        <w:tc>
          <w:tcPr>
            <w:tcW w:w="3936" w:type="dxa"/>
            <w:tcBorders>
              <w:left w:val="single" w:sz="12" w:space="0" w:color="auto"/>
            </w:tcBorders>
            <w:shd w:val="clear" w:color="auto" w:fill="auto"/>
          </w:tcPr>
          <w:p w14:paraId="6B3A8858" w14:textId="77777777" w:rsidR="003A61BE" w:rsidRDefault="003A61BE" w:rsidP="003868C6">
            <w:r>
              <w:t>Gendergelijkheid</w:t>
            </w:r>
          </w:p>
        </w:tc>
        <w:tc>
          <w:tcPr>
            <w:tcW w:w="1163" w:type="dxa"/>
            <w:shd w:val="clear" w:color="auto" w:fill="auto"/>
          </w:tcPr>
          <w:p w14:paraId="6B3A8859" w14:textId="77777777" w:rsidR="003A61BE" w:rsidRDefault="003A61BE" w:rsidP="0006157C">
            <w:pPr>
              <w:jc w:val="center"/>
            </w:pPr>
            <w:r>
              <w:t>3</w:t>
            </w:r>
          </w:p>
        </w:tc>
        <w:tc>
          <w:tcPr>
            <w:tcW w:w="1582" w:type="dxa"/>
            <w:shd w:val="clear" w:color="auto" w:fill="auto"/>
          </w:tcPr>
          <w:p w14:paraId="6B3A885A" w14:textId="77777777" w:rsidR="003A61BE" w:rsidRDefault="003A61BE" w:rsidP="003868C6"/>
        </w:tc>
        <w:tc>
          <w:tcPr>
            <w:tcW w:w="1262" w:type="dxa"/>
            <w:tcBorders>
              <w:right w:val="single" w:sz="12" w:space="0" w:color="auto"/>
            </w:tcBorders>
            <w:shd w:val="clear" w:color="auto" w:fill="auto"/>
          </w:tcPr>
          <w:p w14:paraId="6B3A885B" w14:textId="77777777" w:rsidR="003A61BE" w:rsidRDefault="003A61BE" w:rsidP="003868C6"/>
        </w:tc>
      </w:tr>
      <w:tr w:rsidR="003A61BE" w14:paraId="6B3A8861" w14:textId="77777777" w:rsidTr="000A13EE">
        <w:tc>
          <w:tcPr>
            <w:tcW w:w="3936" w:type="dxa"/>
            <w:tcBorders>
              <w:left w:val="single" w:sz="12" w:space="0" w:color="auto"/>
            </w:tcBorders>
            <w:shd w:val="clear" w:color="auto" w:fill="auto"/>
          </w:tcPr>
          <w:p w14:paraId="6B3A885D" w14:textId="77777777" w:rsidR="003A61BE" w:rsidRDefault="003A61BE" w:rsidP="003868C6">
            <w:r>
              <w:t>Klimaat</w:t>
            </w:r>
          </w:p>
        </w:tc>
        <w:tc>
          <w:tcPr>
            <w:tcW w:w="1163" w:type="dxa"/>
            <w:shd w:val="clear" w:color="auto" w:fill="auto"/>
          </w:tcPr>
          <w:p w14:paraId="6B3A885E" w14:textId="77777777" w:rsidR="003A61BE" w:rsidRDefault="003A61BE" w:rsidP="0006157C">
            <w:pPr>
              <w:jc w:val="center"/>
            </w:pPr>
            <w:r>
              <w:t>3</w:t>
            </w:r>
          </w:p>
        </w:tc>
        <w:tc>
          <w:tcPr>
            <w:tcW w:w="1582" w:type="dxa"/>
            <w:shd w:val="clear" w:color="auto" w:fill="auto"/>
          </w:tcPr>
          <w:p w14:paraId="6B3A885F" w14:textId="77777777" w:rsidR="003A61BE" w:rsidRDefault="003A61BE" w:rsidP="003868C6"/>
        </w:tc>
        <w:tc>
          <w:tcPr>
            <w:tcW w:w="1262" w:type="dxa"/>
            <w:tcBorders>
              <w:right w:val="single" w:sz="12" w:space="0" w:color="auto"/>
            </w:tcBorders>
            <w:shd w:val="clear" w:color="auto" w:fill="auto"/>
          </w:tcPr>
          <w:p w14:paraId="6B3A8860" w14:textId="77777777" w:rsidR="003A61BE" w:rsidRDefault="003A61BE" w:rsidP="003868C6"/>
        </w:tc>
      </w:tr>
      <w:tr w:rsidR="003A61BE" w14:paraId="6B3A8866" w14:textId="77777777" w:rsidTr="000A13EE">
        <w:tc>
          <w:tcPr>
            <w:tcW w:w="3936" w:type="dxa"/>
            <w:tcBorders>
              <w:left w:val="single" w:sz="12" w:space="0" w:color="auto"/>
            </w:tcBorders>
            <w:shd w:val="clear" w:color="auto" w:fill="auto"/>
          </w:tcPr>
          <w:p w14:paraId="6B3A8862" w14:textId="37CB342B" w:rsidR="003A61BE" w:rsidRDefault="003A61BE" w:rsidP="00780536">
            <w:r>
              <w:t xml:space="preserve">Private sector </w:t>
            </w:r>
            <w:r w:rsidR="00780536">
              <w:t>ontwikkeling</w:t>
            </w:r>
          </w:p>
        </w:tc>
        <w:tc>
          <w:tcPr>
            <w:tcW w:w="1163" w:type="dxa"/>
            <w:shd w:val="clear" w:color="auto" w:fill="auto"/>
          </w:tcPr>
          <w:p w14:paraId="6B3A8863" w14:textId="6D8D1278" w:rsidR="003A61BE" w:rsidRDefault="00C73F3D" w:rsidP="0006157C">
            <w:pPr>
              <w:jc w:val="center"/>
            </w:pPr>
            <w:r>
              <w:t>3</w:t>
            </w:r>
          </w:p>
        </w:tc>
        <w:tc>
          <w:tcPr>
            <w:tcW w:w="1582" w:type="dxa"/>
            <w:shd w:val="clear" w:color="auto" w:fill="auto"/>
          </w:tcPr>
          <w:p w14:paraId="6B3A8864" w14:textId="77777777" w:rsidR="003A61BE" w:rsidRDefault="003A61BE" w:rsidP="003868C6"/>
        </w:tc>
        <w:tc>
          <w:tcPr>
            <w:tcW w:w="1262" w:type="dxa"/>
            <w:tcBorders>
              <w:right w:val="single" w:sz="12" w:space="0" w:color="auto"/>
            </w:tcBorders>
            <w:shd w:val="clear" w:color="auto" w:fill="auto"/>
          </w:tcPr>
          <w:p w14:paraId="6B3A8865" w14:textId="77777777" w:rsidR="003A61BE" w:rsidRDefault="003A61BE" w:rsidP="003868C6"/>
        </w:tc>
      </w:tr>
      <w:tr w:rsidR="003A61BE" w14:paraId="6B3A886D" w14:textId="77777777" w:rsidTr="006F749B">
        <w:trPr>
          <w:trHeight w:val="207"/>
        </w:trPr>
        <w:tc>
          <w:tcPr>
            <w:tcW w:w="7943" w:type="dxa"/>
            <w:gridSpan w:val="4"/>
            <w:tcBorders>
              <w:top w:val="single" w:sz="12" w:space="0" w:color="auto"/>
              <w:left w:val="single" w:sz="12" w:space="0" w:color="auto"/>
              <w:right w:val="single" w:sz="12" w:space="0" w:color="auto"/>
            </w:tcBorders>
            <w:shd w:val="clear" w:color="auto" w:fill="BFBFBF" w:themeFill="background1" w:themeFillShade="BF"/>
          </w:tcPr>
          <w:p w14:paraId="6B3A886C" w14:textId="77777777" w:rsidR="003A61BE" w:rsidRDefault="003A61BE" w:rsidP="0006157C">
            <w:r>
              <w:rPr>
                <w:b/>
              </w:rPr>
              <w:t>Overige relevantie</w:t>
            </w:r>
          </w:p>
        </w:tc>
      </w:tr>
      <w:tr w:rsidR="003A61BE" w14:paraId="6B3A8872" w14:textId="77777777" w:rsidTr="00620754">
        <w:tc>
          <w:tcPr>
            <w:tcW w:w="3530" w:type="dxa"/>
            <w:tcBorders>
              <w:top w:val="single" w:sz="12" w:space="0" w:color="auto"/>
              <w:left w:val="single" w:sz="12" w:space="0" w:color="auto"/>
            </w:tcBorders>
            <w:shd w:val="clear" w:color="auto" w:fill="auto"/>
          </w:tcPr>
          <w:p w14:paraId="6B3A886E" w14:textId="77777777" w:rsidR="003A61BE" w:rsidRDefault="003A61BE" w:rsidP="003868C6">
            <w:r>
              <w:t>Regionale samenwerking en economische integratie</w:t>
            </w:r>
          </w:p>
        </w:tc>
        <w:tc>
          <w:tcPr>
            <w:tcW w:w="1329" w:type="dxa"/>
            <w:tcBorders>
              <w:top w:val="single" w:sz="12" w:space="0" w:color="auto"/>
            </w:tcBorders>
            <w:shd w:val="clear" w:color="auto" w:fill="auto"/>
          </w:tcPr>
          <w:p w14:paraId="6B3A886F" w14:textId="77777777" w:rsidR="003A61BE" w:rsidRDefault="003A61BE" w:rsidP="0006157C">
            <w:pPr>
              <w:jc w:val="center"/>
            </w:pPr>
            <w:r>
              <w:t>3</w:t>
            </w:r>
          </w:p>
        </w:tc>
        <w:tc>
          <w:tcPr>
            <w:tcW w:w="1582" w:type="dxa"/>
            <w:tcBorders>
              <w:top w:val="single" w:sz="12" w:space="0" w:color="auto"/>
            </w:tcBorders>
            <w:shd w:val="clear" w:color="auto" w:fill="auto"/>
          </w:tcPr>
          <w:p w14:paraId="6B3A8870" w14:textId="77777777" w:rsidR="003A61BE" w:rsidRDefault="003A61BE" w:rsidP="003868C6"/>
        </w:tc>
        <w:tc>
          <w:tcPr>
            <w:tcW w:w="1256" w:type="dxa"/>
            <w:tcBorders>
              <w:top w:val="single" w:sz="12" w:space="0" w:color="auto"/>
              <w:right w:val="single" w:sz="12" w:space="0" w:color="auto"/>
            </w:tcBorders>
            <w:shd w:val="clear" w:color="auto" w:fill="auto"/>
          </w:tcPr>
          <w:p w14:paraId="6B3A8871" w14:textId="77777777" w:rsidR="003A61BE" w:rsidRDefault="003A61BE" w:rsidP="0006157C">
            <w:pPr>
              <w:jc w:val="center"/>
            </w:pPr>
            <w:r>
              <w:t>3</w:t>
            </w:r>
          </w:p>
        </w:tc>
      </w:tr>
      <w:tr w:rsidR="003A61BE" w14:paraId="6B3A887C" w14:textId="77777777" w:rsidTr="00620754">
        <w:tc>
          <w:tcPr>
            <w:tcW w:w="3530" w:type="dxa"/>
            <w:tcBorders>
              <w:left w:val="single" w:sz="12" w:space="0" w:color="auto"/>
            </w:tcBorders>
            <w:shd w:val="clear" w:color="auto" w:fill="auto"/>
          </w:tcPr>
          <w:p w14:paraId="6B3A8878" w14:textId="77777777" w:rsidR="003A61BE" w:rsidRDefault="003A61BE" w:rsidP="003868C6">
            <w:r>
              <w:t>Gezondheidszorg</w:t>
            </w:r>
          </w:p>
        </w:tc>
        <w:tc>
          <w:tcPr>
            <w:tcW w:w="1329" w:type="dxa"/>
            <w:shd w:val="clear" w:color="auto" w:fill="auto"/>
          </w:tcPr>
          <w:p w14:paraId="6B3A8879" w14:textId="77777777" w:rsidR="003A61BE" w:rsidRDefault="003A61BE" w:rsidP="0006157C">
            <w:pPr>
              <w:jc w:val="center"/>
            </w:pPr>
            <w:r>
              <w:t>4</w:t>
            </w:r>
          </w:p>
        </w:tc>
        <w:tc>
          <w:tcPr>
            <w:tcW w:w="1582" w:type="dxa"/>
            <w:shd w:val="clear" w:color="auto" w:fill="auto"/>
          </w:tcPr>
          <w:p w14:paraId="6B3A887A" w14:textId="77777777" w:rsidR="003A61BE" w:rsidRDefault="003A61BE" w:rsidP="003868C6"/>
        </w:tc>
        <w:tc>
          <w:tcPr>
            <w:tcW w:w="1256" w:type="dxa"/>
            <w:tcBorders>
              <w:right w:val="single" w:sz="12" w:space="0" w:color="auto"/>
            </w:tcBorders>
            <w:shd w:val="clear" w:color="auto" w:fill="auto"/>
          </w:tcPr>
          <w:p w14:paraId="6B3A887B" w14:textId="77777777" w:rsidR="003A61BE" w:rsidRDefault="003A61BE" w:rsidP="003868C6"/>
        </w:tc>
      </w:tr>
      <w:tr w:rsidR="003A61BE" w14:paraId="6B3A8881" w14:textId="77777777" w:rsidTr="00620754">
        <w:tc>
          <w:tcPr>
            <w:tcW w:w="3530" w:type="dxa"/>
            <w:tcBorders>
              <w:left w:val="single" w:sz="12" w:space="0" w:color="auto"/>
              <w:bottom w:val="single" w:sz="12" w:space="0" w:color="auto"/>
            </w:tcBorders>
            <w:shd w:val="clear" w:color="auto" w:fill="auto"/>
          </w:tcPr>
          <w:p w14:paraId="6B3A887D" w14:textId="77777777" w:rsidR="003A61BE" w:rsidRDefault="003A61BE" w:rsidP="003868C6">
            <w:r>
              <w:t>Onderwijs</w:t>
            </w:r>
          </w:p>
        </w:tc>
        <w:tc>
          <w:tcPr>
            <w:tcW w:w="1329" w:type="dxa"/>
            <w:tcBorders>
              <w:bottom w:val="single" w:sz="12" w:space="0" w:color="auto"/>
            </w:tcBorders>
            <w:shd w:val="clear" w:color="auto" w:fill="auto"/>
          </w:tcPr>
          <w:p w14:paraId="6B3A887E" w14:textId="77777777" w:rsidR="003A61BE" w:rsidRDefault="003A61BE" w:rsidP="0006157C">
            <w:pPr>
              <w:jc w:val="center"/>
            </w:pPr>
            <w:r>
              <w:t>4</w:t>
            </w:r>
          </w:p>
        </w:tc>
        <w:tc>
          <w:tcPr>
            <w:tcW w:w="1582" w:type="dxa"/>
            <w:tcBorders>
              <w:bottom w:val="single" w:sz="12" w:space="0" w:color="auto"/>
            </w:tcBorders>
            <w:shd w:val="clear" w:color="auto" w:fill="auto"/>
          </w:tcPr>
          <w:p w14:paraId="6B3A887F" w14:textId="77777777" w:rsidR="003A61BE" w:rsidRDefault="003A61BE" w:rsidP="003868C6"/>
        </w:tc>
        <w:tc>
          <w:tcPr>
            <w:tcW w:w="1256" w:type="dxa"/>
            <w:tcBorders>
              <w:bottom w:val="single" w:sz="12" w:space="0" w:color="auto"/>
              <w:right w:val="single" w:sz="12" w:space="0" w:color="auto"/>
            </w:tcBorders>
            <w:shd w:val="clear" w:color="auto" w:fill="auto"/>
          </w:tcPr>
          <w:p w14:paraId="6B3A8880" w14:textId="77777777" w:rsidR="003A61BE" w:rsidRDefault="003A61BE" w:rsidP="003868C6"/>
        </w:tc>
      </w:tr>
    </w:tbl>
    <w:p w14:paraId="6B3A8882" w14:textId="77777777" w:rsidR="003A61BE" w:rsidRDefault="003A61BE" w:rsidP="003A61BE"/>
    <w:p w14:paraId="6B3A8883" w14:textId="77777777" w:rsidR="003A61BE" w:rsidRPr="003F26FC" w:rsidRDefault="003A61BE" w:rsidP="003A61BE">
      <w:r w:rsidRPr="00193994">
        <w:t xml:space="preserve">Beoordeling: </w:t>
      </w:r>
      <w:r>
        <w:t>Onvoldoende = 1, Matig = 2, Voldoende = 3, Goed</w:t>
      </w:r>
      <w:r w:rsidRPr="00193994">
        <w:t xml:space="preserve"> = 4</w:t>
      </w:r>
    </w:p>
    <w:p w14:paraId="6B3A8885" w14:textId="00FDD454" w:rsidR="003A61BE" w:rsidRDefault="003A61BE" w:rsidP="003A61BE"/>
    <w:p w14:paraId="6B3A8886" w14:textId="77777777" w:rsidR="00B95FC2" w:rsidRPr="00734374" w:rsidRDefault="003A61BE" w:rsidP="000A13EE">
      <w:pPr>
        <w:pStyle w:val="Heading1"/>
        <w:tabs>
          <w:tab w:val="num" w:pos="0"/>
        </w:tabs>
        <w:spacing w:after="240" w:line="240" w:lineRule="auto"/>
      </w:pPr>
      <w:bookmarkStart w:id="23" w:name="_Toc491437338"/>
      <w:r>
        <w:lastRenderedPageBreak/>
        <w:t>2</w:t>
      </w:r>
      <w:r w:rsidR="00734374" w:rsidRPr="00734374">
        <w:t xml:space="preserve"> </w:t>
      </w:r>
      <w:r w:rsidR="00734374">
        <w:tab/>
      </w:r>
      <w:r w:rsidR="00AD0CCB" w:rsidRPr="00734374">
        <w:t>Inleiding</w:t>
      </w:r>
      <w:bookmarkEnd w:id="17"/>
      <w:bookmarkEnd w:id="23"/>
    </w:p>
    <w:p w14:paraId="6B3A8887" w14:textId="77777777"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2C5FCD">
        <w:rPr>
          <w:szCs w:val="18"/>
          <w:lang w:eastAsia="zh-CN"/>
        </w:rPr>
        <w:t xml:space="preserve"> (IFI’s)</w:t>
      </w:r>
      <w:r w:rsidR="003B4CB4">
        <w:rPr>
          <w:szCs w:val="18"/>
          <w:lang w:eastAsia="zh-CN"/>
        </w:rPr>
        <w:t xml:space="preserve">, </w:t>
      </w:r>
      <w:r w:rsidR="00223E42">
        <w:rPr>
          <w:szCs w:val="18"/>
          <w:lang w:eastAsia="zh-CN"/>
        </w:rPr>
        <w:t xml:space="preserve">de voor Nederlands </w:t>
      </w:r>
      <w:r w:rsidR="002C5FCD">
        <w:rPr>
          <w:szCs w:val="18"/>
          <w:lang w:eastAsia="zh-CN"/>
        </w:rPr>
        <w:t>beleid voor Buitenlandse Handel en Ontwikkelingssamenwerking (BHOS)</w:t>
      </w:r>
      <w:r w:rsidR="003A61BE">
        <w:rPr>
          <w:szCs w:val="18"/>
          <w:lang w:eastAsia="zh-CN"/>
        </w:rPr>
        <w:t xml:space="preserve"> </w:t>
      </w:r>
      <w:r w:rsidR="00223E42">
        <w:rPr>
          <w:szCs w:val="18"/>
          <w:lang w:eastAsia="zh-CN"/>
        </w:rPr>
        <w:t>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2C5FCD">
        <w:rPr>
          <w:szCs w:val="18"/>
          <w:lang w:eastAsia="zh-CN"/>
        </w:rPr>
        <w:t>BHOS</w:t>
      </w:r>
      <w:r w:rsidR="00CF0A55">
        <w:rPr>
          <w:szCs w:val="18"/>
          <w:lang w:eastAsia="zh-CN"/>
        </w:rPr>
        <w:t>,</w:t>
      </w:r>
      <w:r w:rsidR="005D3322">
        <w:rPr>
          <w:szCs w:val="18"/>
          <w:lang w:eastAsia="zh-CN"/>
        </w:rPr>
        <w:t xml:space="preserve"> maar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6B3A8888"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vierpuntsschaal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6B3A8889" w14:textId="77777777" w:rsidR="005150FC"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r w:rsidRPr="00AF36B0">
        <w:rPr>
          <w:i/>
          <w:szCs w:val="18"/>
          <w:lang w:eastAsia="zh-CN"/>
        </w:rPr>
        <w:t>Multilateral Organisations Performance Assessment Network</w:t>
      </w:r>
      <w:r w:rsidRPr="00307981">
        <w:rPr>
          <w:szCs w:val="18"/>
          <w:lang w:eastAsia="zh-CN"/>
        </w:rPr>
        <w:t xml:space="preserve"> (MOPAN)</w:t>
      </w:r>
      <w:r w:rsidR="00456C9B">
        <w:rPr>
          <w:szCs w:val="18"/>
          <w:lang w:eastAsia="zh-CN"/>
        </w:rPr>
        <w:t>.</w:t>
      </w:r>
      <w:r>
        <w:rPr>
          <w:rStyle w:val="FootnoteReference"/>
          <w:szCs w:val="18"/>
          <w:lang w:eastAsia="zh-CN"/>
        </w:rPr>
        <w:footnoteReference w:id="1"/>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Kiesgroepkantoren.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r w:rsidR="00AC567F">
        <w:rPr>
          <w:szCs w:val="18"/>
          <w:lang w:eastAsia="zh-CN"/>
        </w:rPr>
        <w:t>De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6B3A888A" w14:textId="77777777" w:rsidR="00307981" w:rsidRPr="00307981" w:rsidRDefault="00307981" w:rsidP="00307981"/>
    <w:p w14:paraId="6B3A888B" w14:textId="433F632C" w:rsidR="00D745A7" w:rsidRDefault="00F24A31" w:rsidP="003A61BE">
      <w:pPr>
        <w:pStyle w:val="Heading1"/>
        <w:numPr>
          <w:ilvl w:val="0"/>
          <w:numId w:val="44"/>
        </w:numPr>
        <w:spacing w:after="240" w:line="240" w:lineRule="auto"/>
      </w:pPr>
      <w:r>
        <w:lastRenderedPageBreak/>
        <w:tab/>
      </w:r>
      <w:r w:rsidR="00761D0B">
        <w:tab/>
      </w:r>
      <w:r w:rsidR="00733959">
        <w:t xml:space="preserve">        </w:t>
      </w:r>
      <w:bookmarkStart w:id="24" w:name="_Toc491437339"/>
      <w:r w:rsidR="00D745A7">
        <w:t>Algemene achtergrond</w:t>
      </w:r>
      <w:bookmarkEnd w:id="24"/>
    </w:p>
    <w:p w14:paraId="6B3A888C" w14:textId="77777777" w:rsidR="009C4AAC" w:rsidRPr="003A61BE" w:rsidRDefault="003A61BE" w:rsidP="003A61BE">
      <w:pPr>
        <w:pStyle w:val="Heading2"/>
        <w:tabs>
          <w:tab w:val="left" w:pos="-1162"/>
          <w:tab w:val="left" w:pos="0"/>
        </w:tabs>
        <w:spacing w:line="240" w:lineRule="auto"/>
        <w:ind w:left="-1162"/>
        <w:rPr>
          <w:lang w:val="nl-NL"/>
        </w:rPr>
      </w:pPr>
      <w:bookmarkStart w:id="25" w:name="_Toc491437340"/>
      <w:r w:rsidRPr="003A61BE">
        <w:rPr>
          <w:lang w:val="nl-NL"/>
        </w:rPr>
        <w:t>3.1</w:t>
      </w:r>
      <w:r w:rsidRPr="003A61BE">
        <w:rPr>
          <w:lang w:val="nl-NL"/>
        </w:rPr>
        <w:tab/>
      </w:r>
      <w:r w:rsidR="0055776D">
        <w:t>Doelstelling</w:t>
      </w:r>
      <w:r w:rsidR="00FC6EC6">
        <w:t xml:space="preserve"> en toegevoegde waarde</w:t>
      </w:r>
      <w:bookmarkEnd w:id="25"/>
    </w:p>
    <w:p w14:paraId="6B3A888D" w14:textId="77777777" w:rsidR="00997480" w:rsidRPr="00997480" w:rsidRDefault="00997480" w:rsidP="00997480">
      <w:pPr>
        <w:rPr>
          <w:bCs/>
          <w:szCs w:val="20"/>
          <w:lang w:eastAsia="ar-SA"/>
        </w:rPr>
      </w:pPr>
      <w:r w:rsidRPr="002237A9">
        <w:rPr>
          <w:bCs/>
          <w:szCs w:val="20"/>
          <w:lang w:eastAsia="ar-SA"/>
        </w:rPr>
        <w:t xml:space="preserve">De Aziatische Ontwikkelingsbank (AsDB) is opgericht in 1966 door 31 landen, waaronder Nederland. </w:t>
      </w:r>
      <w:r>
        <w:rPr>
          <w:bCs/>
          <w:szCs w:val="20"/>
          <w:lang w:eastAsia="ar-SA"/>
        </w:rPr>
        <w:t xml:space="preserve">De visie van de AsDB is het uitbannen van armoede in Azië en de </w:t>
      </w:r>
      <w:r w:rsidRPr="00501EC6">
        <w:rPr>
          <w:bCs/>
          <w:i/>
          <w:szCs w:val="20"/>
          <w:lang w:eastAsia="ar-SA"/>
        </w:rPr>
        <w:t>Pacific</w:t>
      </w:r>
      <w:r>
        <w:rPr>
          <w:bCs/>
          <w:szCs w:val="20"/>
          <w:lang w:eastAsia="ar-SA"/>
        </w:rPr>
        <w:t xml:space="preserve">. De missie van de Bank is het helpen van haar </w:t>
      </w:r>
      <w:r>
        <w:rPr>
          <w:bCs/>
          <w:i/>
          <w:szCs w:val="20"/>
          <w:lang w:eastAsia="ar-SA"/>
        </w:rPr>
        <w:t xml:space="preserve">Developing Member Countries </w:t>
      </w:r>
      <w:r>
        <w:rPr>
          <w:bCs/>
          <w:szCs w:val="20"/>
          <w:lang w:eastAsia="ar-SA"/>
        </w:rPr>
        <w:t xml:space="preserve">(DMCs) om armoede te verminderen en leefomstandigheden en kwaliteit van leven te verbeteren. </w:t>
      </w:r>
    </w:p>
    <w:p w14:paraId="6B3A888E" w14:textId="77777777" w:rsidR="00997480" w:rsidRDefault="00997480" w:rsidP="00997480">
      <w:pPr>
        <w:rPr>
          <w:bCs/>
          <w:szCs w:val="20"/>
          <w:lang w:eastAsia="ar-SA"/>
        </w:rPr>
      </w:pPr>
    </w:p>
    <w:p w14:paraId="6B3A888F" w14:textId="31A1B5AF" w:rsidR="008D16FD" w:rsidRDefault="00997480" w:rsidP="009C4AAC">
      <w:r>
        <w:t xml:space="preserve">De AsDB </w:t>
      </w:r>
      <w:r w:rsidR="00F22336">
        <w:t>verstrekt</w:t>
      </w:r>
      <w:r>
        <w:t xml:space="preserve"> leningen, schenkingen en technische assistentie aa</w:t>
      </w:r>
      <w:r w:rsidR="00F22336">
        <w:t>n overheden en de private sector</w:t>
      </w:r>
      <w:r>
        <w:t xml:space="preserve"> in (ontwikkelings)landen in Azië en de </w:t>
      </w:r>
      <w:r>
        <w:rPr>
          <w:i/>
        </w:rPr>
        <w:t>Pacific</w:t>
      </w:r>
      <w:r w:rsidR="00F22336">
        <w:t xml:space="preserve"> </w:t>
      </w:r>
      <w:r w:rsidR="0066099D">
        <w:t xml:space="preserve">in </w:t>
      </w:r>
      <w:r w:rsidR="00F22336">
        <w:t>een breed aantal sectoren, zoals energie, water, transport en onderwijs</w:t>
      </w:r>
      <w:r>
        <w:t xml:space="preserve">. Daarnaast wordt </w:t>
      </w:r>
      <w:r w:rsidR="00F22336">
        <w:t>de Bank</w:t>
      </w:r>
      <w:r>
        <w:t xml:space="preserve"> vaak door overheden in de regio gevraagd een </w:t>
      </w:r>
      <w:r w:rsidR="0066099D">
        <w:t>advies</w:t>
      </w:r>
      <w:r>
        <w:t xml:space="preserve">rol te vervullen. </w:t>
      </w:r>
      <w:r w:rsidR="008D6EFF">
        <w:t xml:space="preserve">De </w:t>
      </w:r>
      <w:r>
        <w:t xml:space="preserve">AsDB is </w:t>
      </w:r>
      <w:r w:rsidR="00C02AF8">
        <w:t>een</w:t>
      </w:r>
      <w:r>
        <w:t xml:space="preserve"> van de belangrijkste ontwikkelingsorganisaties specifiek </w:t>
      </w:r>
      <w:r w:rsidR="0066099D">
        <w:t>in</w:t>
      </w:r>
      <w:r w:rsidRPr="004012D0">
        <w:t xml:space="preserve"> </w:t>
      </w:r>
      <w:r w:rsidR="009720A7">
        <w:t>deze regio.</w:t>
      </w:r>
    </w:p>
    <w:p w14:paraId="23C3DAA2" w14:textId="77777777" w:rsidR="00514A54" w:rsidRDefault="00514A54" w:rsidP="009C4AAC"/>
    <w:p w14:paraId="6B3A8890" w14:textId="6B0BBC86" w:rsidR="002D18C0" w:rsidRDefault="00733959" w:rsidP="002D18C0">
      <w:pPr>
        <w:pStyle w:val="Heading2"/>
        <w:numPr>
          <w:ilvl w:val="1"/>
          <w:numId w:val="44"/>
        </w:numPr>
        <w:tabs>
          <w:tab w:val="left" w:pos="-1162"/>
          <w:tab w:val="left" w:pos="0"/>
        </w:tabs>
        <w:spacing w:line="240" w:lineRule="auto"/>
      </w:pPr>
      <w:r w:rsidRPr="00BC54BD">
        <w:rPr>
          <w:lang w:val="nl-NL"/>
        </w:rPr>
        <w:t xml:space="preserve">       </w:t>
      </w:r>
      <w:bookmarkStart w:id="26" w:name="_Toc491437341"/>
      <w:r w:rsidR="00D745A7">
        <w:t>Organisatie, werkwijze en activiteiten</w:t>
      </w:r>
      <w:bookmarkEnd w:id="26"/>
    </w:p>
    <w:p w14:paraId="6B3A8891" w14:textId="77777777" w:rsidR="002D18C0" w:rsidRDefault="002D18C0" w:rsidP="002D18C0">
      <w:pPr>
        <w:suppressAutoHyphens/>
        <w:rPr>
          <w:lang w:eastAsia="ar-SA"/>
        </w:rPr>
      </w:pPr>
      <w:r>
        <w:rPr>
          <w:lang w:eastAsia="ar-SA"/>
        </w:rPr>
        <w:t xml:space="preserve">De AsDB heeft 67 Lidstaten, waarvan 48 in </w:t>
      </w:r>
      <w:r>
        <w:t xml:space="preserve">Azië en de </w:t>
      </w:r>
      <w:r>
        <w:rPr>
          <w:i/>
        </w:rPr>
        <w:t>Pacific</w:t>
      </w:r>
      <w:r>
        <w:rPr>
          <w:lang w:eastAsia="ar-SA"/>
        </w:rPr>
        <w:t xml:space="preserve"> en 19 buiten deze regio. Naast het hoofdkantoor, gevestigd in Manilla, heeft de Bank 29</w:t>
      </w:r>
      <w:r w:rsidRPr="002237A9">
        <w:rPr>
          <w:lang w:eastAsia="ar-SA"/>
        </w:rPr>
        <w:t xml:space="preserve"> landenkantoren</w:t>
      </w:r>
      <w:r>
        <w:rPr>
          <w:lang w:eastAsia="ar-SA"/>
        </w:rPr>
        <w:t>.</w:t>
      </w:r>
      <w:r w:rsidRPr="002237A9">
        <w:rPr>
          <w:lang w:eastAsia="ar-SA"/>
        </w:rPr>
        <w:t xml:space="preserve"> </w:t>
      </w:r>
      <w:r>
        <w:rPr>
          <w:lang w:eastAsia="ar-SA"/>
        </w:rPr>
        <w:t xml:space="preserve">De AsDB heeft een Raad van Gouverneurs, een Raad van Bewindvoerders, een President, een Managing Director General en zes </w:t>
      </w:r>
      <w:r w:rsidR="00C02AF8">
        <w:rPr>
          <w:lang w:eastAsia="ar-SA"/>
        </w:rPr>
        <w:t>Vicepresidenten</w:t>
      </w:r>
      <w:r w:rsidRPr="002237A9">
        <w:rPr>
          <w:lang w:eastAsia="ar-SA"/>
        </w:rPr>
        <w:t xml:space="preserve">. </w:t>
      </w:r>
    </w:p>
    <w:p w14:paraId="6B3A8892" w14:textId="77777777" w:rsidR="002D18C0" w:rsidRDefault="002D18C0" w:rsidP="002D18C0">
      <w:pPr>
        <w:suppressAutoHyphens/>
        <w:rPr>
          <w:lang w:eastAsia="ar-SA"/>
        </w:rPr>
      </w:pPr>
    </w:p>
    <w:p w14:paraId="6B3A8893" w14:textId="77777777" w:rsidR="008801F9" w:rsidRDefault="001B3D87" w:rsidP="008801F9">
      <w:pPr>
        <w:suppressAutoHyphens/>
        <w:rPr>
          <w:lang w:eastAsia="ar-SA"/>
        </w:rPr>
      </w:pPr>
      <w:r>
        <w:rPr>
          <w:lang w:eastAsia="ar-SA"/>
        </w:rPr>
        <w:t>Het management van de Bank bestaat om te beginnen uit d</w:t>
      </w:r>
      <w:r w:rsidR="00673786">
        <w:rPr>
          <w:lang w:eastAsia="ar-SA"/>
        </w:rPr>
        <w:t xml:space="preserve">e </w:t>
      </w:r>
      <w:r w:rsidR="00673786" w:rsidRPr="002237A9">
        <w:rPr>
          <w:lang w:eastAsia="ar-SA"/>
        </w:rPr>
        <w:t>President</w:t>
      </w:r>
      <w:r w:rsidR="00673786">
        <w:rPr>
          <w:lang w:eastAsia="ar-SA"/>
        </w:rPr>
        <w:t>,</w:t>
      </w:r>
      <w:r>
        <w:rPr>
          <w:lang w:eastAsia="ar-SA"/>
        </w:rPr>
        <w:t xml:space="preserve"> die wordt gekozen door de Gouverneurs. De President </w:t>
      </w:r>
      <w:r w:rsidR="00673786">
        <w:rPr>
          <w:lang w:eastAsia="ar-SA"/>
        </w:rPr>
        <w:t>staat</w:t>
      </w:r>
      <w:r w:rsidR="00673786" w:rsidRPr="002237A9">
        <w:rPr>
          <w:lang w:eastAsia="ar-SA"/>
        </w:rPr>
        <w:t xml:space="preserve"> </w:t>
      </w:r>
      <w:r w:rsidR="00673786">
        <w:rPr>
          <w:lang w:eastAsia="ar-SA"/>
        </w:rPr>
        <w:t>aan het hoofd van de Bank</w:t>
      </w:r>
      <w:r>
        <w:rPr>
          <w:lang w:eastAsia="ar-SA"/>
        </w:rPr>
        <w:t xml:space="preserve"> en is </w:t>
      </w:r>
      <w:r w:rsidR="008801F9">
        <w:rPr>
          <w:lang w:eastAsia="ar-SA"/>
        </w:rPr>
        <w:t xml:space="preserve">traditioneel afkomstig uit Japan. Vanaf april 2013 is dat </w:t>
      </w:r>
      <w:r w:rsidR="002267FE">
        <w:rPr>
          <w:lang w:eastAsia="ar-SA"/>
        </w:rPr>
        <w:t xml:space="preserve">dhr. </w:t>
      </w:r>
      <w:r w:rsidR="008801F9">
        <w:rPr>
          <w:lang w:eastAsia="ar-SA"/>
        </w:rPr>
        <w:t xml:space="preserve">Takehiko Nakao. In </w:t>
      </w:r>
      <w:r w:rsidR="0066099D">
        <w:rPr>
          <w:lang w:eastAsia="ar-SA"/>
        </w:rPr>
        <w:t xml:space="preserve">november </w:t>
      </w:r>
      <w:r w:rsidR="008801F9">
        <w:rPr>
          <w:lang w:eastAsia="ar-SA"/>
        </w:rPr>
        <w:t xml:space="preserve">2016 werd hij herkozen voor een tweede termijn van vijf jaar. </w:t>
      </w:r>
      <w:r>
        <w:rPr>
          <w:lang w:eastAsia="ar-SA"/>
        </w:rPr>
        <w:t xml:space="preserve">Verder bestaat het </w:t>
      </w:r>
      <w:r w:rsidRPr="006004BE">
        <w:rPr>
          <w:lang w:eastAsia="ar-SA"/>
        </w:rPr>
        <w:t xml:space="preserve">management uit de </w:t>
      </w:r>
      <w:r w:rsidR="008801F9" w:rsidRPr="006004BE">
        <w:rPr>
          <w:i/>
          <w:lang w:eastAsia="ar-SA"/>
        </w:rPr>
        <w:t>Managing Director General</w:t>
      </w:r>
      <w:r w:rsidR="008801F9" w:rsidRPr="006004BE">
        <w:rPr>
          <w:lang w:eastAsia="ar-SA"/>
        </w:rPr>
        <w:t xml:space="preserve"> (MDG)</w:t>
      </w:r>
      <w:r w:rsidR="008801F9">
        <w:rPr>
          <w:lang w:eastAsia="ar-SA"/>
        </w:rPr>
        <w:t xml:space="preserve"> en zes </w:t>
      </w:r>
      <w:r w:rsidR="00C02AF8">
        <w:rPr>
          <w:lang w:eastAsia="ar-SA"/>
        </w:rPr>
        <w:t>Vicepresidenten</w:t>
      </w:r>
      <w:r w:rsidR="002267FE">
        <w:rPr>
          <w:lang w:eastAsia="ar-SA"/>
        </w:rPr>
        <w:t xml:space="preserve"> (VPs). Er zijn drie</w:t>
      </w:r>
      <w:r w:rsidR="008801F9" w:rsidRPr="002237A9">
        <w:rPr>
          <w:lang w:eastAsia="ar-SA"/>
        </w:rPr>
        <w:t xml:space="preserve"> VPs </w:t>
      </w:r>
      <w:r w:rsidR="008801F9" w:rsidRPr="002237A9">
        <w:rPr>
          <w:i/>
          <w:lang w:eastAsia="ar-SA"/>
        </w:rPr>
        <w:t>Operations</w:t>
      </w:r>
      <w:r w:rsidR="002267FE">
        <w:rPr>
          <w:lang w:eastAsia="ar-SA"/>
        </w:rPr>
        <w:t xml:space="preserve">. </w:t>
      </w:r>
      <w:r w:rsidR="00013F6D">
        <w:rPr>
          <w:lang w:eastAsia="ar-SA"/>
        </w:rPr>
        <w:t xml:space="preserve">Twee van hen </w:t>
      </w:r>
      <w:r w:rsidR="00066F3F">
        <w:rPr>
          <w:lang w:eastAsia="ar-SA"/>
        </w:rPr>
        <w:t xml:space="preserve">zijn verantwoordelijk voor de regiodirecties die ook de </w:t>
      </w:r>
      <w:r w:rsidR="008801F9" w:rsidRPr="002237A9">
        <w:rPr>
          <w:lang w:eastAsia="ar-SA"/>
        </w:rPr>
        <w:t>landenkantoren aan</w:t>
      </w:r>
      <w:r w:rsidR="00066F3F">
        <w:rPr>
          <w:lang w:eastAsia="ar-SA"/>
        </w:rPr>
        <w:t>sturen</w:t>
      </w:r>
      <w:r w:rsidR="008801F9" w:rsidRPr="002237A9">
        <w:rPr>
          <w:lang w:eastAsia="ar-SA"/>
        </w:rPr>
        <w:t>.</w:t>
      </w:r>
      <w:r w:rsidR="00066F3F">
        <w:rPr>
          <w:lang w:eastAsia="ar-SA"/>
        </w:rPr>
        <w:t xml:space="preserve"> De derde van hen is verantwoordelijk voor private sector</w:t>
      </w:r>
      <w:r w:rsidR="008C4604">
        <w:rPr>
          <w:lang w:eastAsia="ar-SA"/>
        </w:rPr>
        <w:t>- en cofinancieringsactiviteiten</w:t>
      </w:r>
      <w:r w:rsidR="00066F3F">
        <w:rPr>
          <w:lang w:eastAsia="ar-SA"/>
        </w:rPr>
        <w:t>.</w:t>
      </w:r>
      <w:r w:rsidR="008801F9" w:rsidRPr="002237A9">
        <w:rPr>
          <w:lang w:eastAsia="ar-SA"/>
        </w:rPr>
        <w:t xml:space="preserve"> Onder de andere </w:t>
      </w:r>
      <w:r w:rsidR="00066F3F">
        <w:rPr>
          <w:lang w:eastAsia="ar-SA"/>
        </w:rPr>
        <w:t>drie VPs vallen de directies</w:t>
      </w:r>
      <w:r w:rsidR="008801F9" w:rsidRPr="002237A9">
        <w:rPr>
          <w:lang w:eastAsia="ar-SA"/>
        </w:rPr>
        <w:t xml:space="preserve"> voor kennismanagement en duurzame ontwikkelin</w:t>
      </w:r>
      <w:r w:rsidR="00066F3F">
        <w:rPr>
          <w:lang w:eastAsia="ar-SA"/>
        </w:rPr>
        <w:t xml:space="preserve">g, </w:t>
      </w:r>
      <w:r w:rsidR="008801F9" w:rsidRPr="002237A9">
        <w:rPr>
          <w:lang w:eastAsia="ar-SA"/>
        </w:rPr>
        <w:t xml:space="preserve">financiën </w:t>
      </w:r>
      <w:r w:rsidR="00066F3F">
        <w:rPr>
          <w:lang w:eastAsia="ar-SA"/>
        </w:rPr>
        <w:t xml:space="preserve">en risicomanagement </w:t>
      </w:r>
      <w:r w:rsidR="008801F9" w:rsidRPr="002237A9">
        <w:rPr>
          <w:lang w:eastAsia="ar-SA"/>
        </w:rPr>
        <w:t>en interne organisatie.</w:t>
      </w:r>
    </w:p>
    <w:p w14:paraId="6B3A8894" w14:textId="77777777" w:rsidR="00066F3F" w:rsidRDefault="00066F3F" w:rsidP="00066F3F">
      <w:pPr>
        <w:suppressAutoHyphens/>
        <w:rPr>
          <w:lang w:eastAsia="ar-SA"/>
        </w:rPr>
      </w:pPr>
    </w:p>
    <w:p w14:paraId="6B3A8895" w14:textId="77777777" w:rsidR="006D0FB1" w:rsidRDefault="00066F3F" w:rsidP="001B3D87">
      <w:pPr>
        <w:suppressAutoHyphens/>
        <w:rPr>
          <w:lang w:eastAsia="ar-SA"/>
        </w:rPr>
      </w:pPr>
      <w:r w:rsidRPr="002237A9">
        <w:rPr>
          <w:lang w:eastAsia="ar-SA"/>
        </w:rPr>
        <w:t xml:space="preserve">De formele leiding van de Bank is in handen van de </w:t>
      </w:r>
      <w:r>
        <w:rPr>
          <w:lang w:eastAsia="ar-SA"/>
        </w:rPr>
        <w:t xml:space="preserve">Raad van Gouverneurs. Alle lidstaten </w:t>
      </w:r>
      <w:r w:rsidR="008248D0">
        <w:rPr>
          <w:lang w:eastAsia="ar-SA"/>
        </w:rPr>
        <w:t xml:space="preserve">zijn </w:t>
      </w:r>
      <w:r>
        <w:rPr>
          <w:lang w:eastAsia="ar-SA"/>
        </w:rPr>
        <w:t>vertegenwoordigd in deze Raad</w:t>
      </w:r>
      <w:r w:rsidRPr="002237A9">
        <w:rPr>
          <w:lang w:eastAsia="ar-SA"/>
        </w:rPr>
        <w:t xml:space="preserve">. Het dagelijkse </w:t>
      </w:r>
      <w:r>
        <w:rPr>
          <w:lang w:eastAsia="ar-SA"/>
        </w:rPr>
        <w:t xml:space="preserve">bestuur </w:t>
      </w:r>
      <w:r w:rsidRPr="002237A9">
        <w:rPr>
          <w:lang w:eastAsia="ar-SA"/>
        </w:rPr>
        <w:t xml:space="preserve">is gedelegeerd aan de </w:t>
      </w:r>
      <w:r>
        <w:rPr>
          <w:lang w:eastAsia="ar-SA"/>
        </w:rPr>
        <w:t>Raa</w:t>
      </w:r>
      <w:r w:rsidR="008248D0">
        <w:rPr>
          <w:lang w:eastAsia="ar-SA"/>
        </w:rPr>
        <w:t xml:space="preserve">d van Bewindvoerders </w:t>
      </w:r>
      <w:r w:rsidR="001B3D87">
        <w:rPr>
          <w:lang w:eastAsia="ar-SA"/>
        </w:rPr>
        <w:t xml:space="preserve">(RvB) </w:t>
      </w:r>
      <w:r w:rsidR="008248D0">
        <w:rPr>
          <w:lang w:eastAsia="ar-SA"/>
        </w:rPr>
        <w:t xml:space="preserve">die </w:t>
      </w:r>
      <w:r>
        <w:rPr>
          <w:lang w:eastAsia="ar-SA"/>
        </w:rPr>
        <w:t>bestaat uit 12 leden. De</w:t>
      </w:r>
      <w:r w:rsidRPr="002237A9">
        <w:rPr>
          <w:lang w:eastAsia="ar-SA"/>
        </w:rPr>
        <w:t xml:space="preserve"> </w:t>
      </w:r>
      <w:r>
        <w:rPr>
          <w:lang w:eastAsia="ar-SA"/>
        </w:rPr>
        <w:t xml:space="preserve">bewindvoerders </w:t>
      </w:r>
      <w:r w:rsidRPr="002237A9">
        <w:rPr>
          <w:lang w:eastAsia="ar-SA"/>
        </w:rPr>
        <w:t>zijn permanent geplaatst bij</w:t>
      </w:r>
      <w:r w:rsidR="008248D0">
        <w:rPr>
          <w:lang w:eastAsia="ar-SA"/>
        </w:rPr>
        <w:t xml:space="preserve"> het hoofdkantoor in Manilla. Zij </w:t>
      </w:r>
      <w:r>
        <w:rPr>
          <w:lang w:eastAsia="ar-SA"/>
        </w:rPr>
        <w:t xml:space="preserve">vertegenwoordigen </w:t>
      </w:r>
      <w:r w:rsidR="00C83425">
        <w:rPr>
          <w:lang w:eastAsia="ar-SA"/>
        </w:rPr>
        <w:t>de landen in</w:t>
      </w:r>
      <w:r>
        <w:rPr>
          <w:lang w:eastAsia="ar-SA"/>
        </w:rPr>
        <w:t xml:space="preserve"> hun </w:t>
      </w:r>
      <w:r w:rsidRPr="002237A9">
        <w:rPr>
          <w:lang w:eastAsia="ar-SA"/>
        </w:rPr>
        <w:t xml:space="preserve">kiesgroep </w:t>
      </w:r>
      <w:r w:rsidR="001B3D87">
        <w:rPr>
          <w:lang w:eastAsia="ar-SA"/>
        </w:rPr>
        <w:t xml:space="preserve">in de </w:t>
      </w:r>
      <w:r w:rsidR="001B3D87" w:rsidRPr="00AA474A">
        <w:rPr>
          <w:lang w:eastAsia="ar-SA"/>
        </w:rPr>
        <w:t>RvB</w:t>
      </w:r>
      <w:r w:rsidRPr="00AA474A">
        <w:rPr>
          <w:lang w:eastAsia="ar-SA"/>
        </w:rPr>
        <w:t>.</w:t>
      </w:r>
      <w:r w:rsidR="001B3D87" w:rsidRPr="00AA474A">
        <w:rPr>
          <w:lang w:eastAsia="ar-SA"/>
        </w:rPr>
        <w:t xml:space="preserve"> </w:t>
      </w:r>
      <w:r w:rsidR="00AA474A" w:rsidRPr="00AA474A">
        <w:rPr>
          <w:lang w:eastAsia="ar-SA"/>
        </w:rPr>
        <w:t>D</w:t>
      </w:r>
      <w:r w:rsidR="00E85CF3" w:rsidRPr="00AA474A">
        <w:rPr>
          <w:lang w:eastAsia="ar-SA"/>
        </w:rPr>
        <w:t>e RvB worden voorgezeten door de President.</w:t>
      </w:r>
      <w:r w:rsidR="00E85CF3">
        <w:rPr>
          <w:lang w:eastAsia="ar-SA"/>
        </w:rPr>
        <w:t xml:space="preserve"> </w:t>
      </w:r>
    </w:p>
    <w:p w14:paraId="6B3A8896" w14:textId="77777777" w:rsidR="006D0FB1" w:rsidRDefault="006D0FB1" w:rsidP="001B3D87">
      <w:pPr>
        <w:suppressAutoHyphens/>
        <w:rPr>
          <w:lang w:eastAsia="ar-SA"/>
        </w:rPr>
      </w:pPr>
    </w:p>
    <w:p w14:paraId="6B3A8897" w14:textId="77777777" w:rsidR="001B3D87" w:rsidRPr="004F2544" w:rsidRDefault="001B3D87" w:rsidP="004F2544">
      <w:pPr>
        <w:suppressAutoHyphens/>
        <w:rPr>
          <w:lang w:eastAsia="ar-SA"/>
        </w:rPr>
      </w:pPr>
      <w:r w:rsidRPr="002237A9">
        <w:rPr>
          <w:lang w:eastAsia="ar-SA"/>
        </w:rPr>
        <w:t>Beleid</w:t>
      </w:r>
      <w:r>
        <w:rPr>
          <w:lang w:eastAsia="ar-SA"/>
        </w:rPr>
        <w:t xml:space="preserve"> en voorstellen voor </w:t>
      </w:r>
      <w:r>
        <w:rPr>
          <w:i/>
          <w:lang w:eastAsia="ar-SA"/>
        </w:rPr>
        <w:t>operations (</w:t>
      </w:r>
      <w:r>
        <w:rPr>
          <w:lang w:eastAsia="ar-SA"/>
        </w:rPr>
        <w:t>leningen, schenkingen en/</w:t>
      </w:r>
      <w:r w:rsidR="00C02AF8">
        <w:rPr>
          <w:lang w:eastAsia="ar-SA"/>
        </w:rPr>
        <w:t xml:space="preserve">of </w:t>
      </w:r>
      <w:r w:rsidR="00C02AF8" w:rsidRPr="002237A9">
        <w:rPr>
          <w:lang w:eastAsia="ar-SA"/>
        </w:rPr>
        <w:t>technische</w:t>
      </w:r>
      <w:r>
        <w:rPr>
          <w:lang w:eastAsia="ar-SA"/>
        </w:rPr>
        <w:t xml:space="preserve"> assistentie) </w:t>
      </w:r>
      <w:r w:rsidRPr="002237A9">
        <w:rPr>
          <w:lang w:eastAsia="ar-SA"/>
        </w:rPr>
        <w:t>word</w:t>
      </w:r>
      <w:r>
        <w:rPr>
          <w:lang w:eastAsia="ar-SA"/>
        </w:rPr>
        <w:t>en</w:t>
      </w:r>
      <w:r w:rsidRPr="002237A9">
        <w:rPr>
          <w:lang w:eastAsia="ar-SA"/>
        </w:rPr>
        <w:t xml:space="preserve"> voorbereid door</w:t>
      </w:r>
      <w:r>
        <w:rPr>
          <w:lang w:eastAsia="ar-SA"/>
        </w:rPr>
        <w:t xml:space="preserve"> het</w:t>
      </w:r>
      <w:r w:rsidRPr="002237A9">
        <w:rPr>
          <w:lang w:eastAsia="ar-SA"/>
        </w:rPr>
        <w:t xml:space="preserve"> M</w:t>
      </w:r>
      <w:r>
        <w:rPr>
          <w:lang w:eastAsia="ar-SA"/>
        </w:rPr>
        <w:t>anagement</w:t>
      </w:r>
      <w:r w:rsidR="006D0FB1">
        <w:rPr>
          <w:lang w:eastAsia="ar-SA"/>
        </w:rPr>
        <w:t>. D</w:t>
      </w:r>
      <w:r>
        <w:rPr>
          <w:lang w:eastAsia="ar-SA"/>
        </w:rPr>
        <w:t>e uiteindelijke goedkeuring ligt</w:t>
      </w:r>
      <w:r w:rsidR="006D0FB1">
        <w:rPr>
          <w:lang w:eastAsia="ar-SA"/>
        </w:rPr>
        <w:t xml:space="preserve"> echter</w:t>
      </w:r>
      <w:r>
        <w:rPr>
          <w:lang w:eastAsia="ar-SA"/>
        </w:rPr>
        <w:t xml:space="preserve"> bij </w:t>
      </w:r>
      <w:r w:rsidR="006D0FB1">
        <w:rPr>
          <w:lang w:eastAsia="ar-SA"/>
        </w:rPr>
        <w:t xml:space="preserve">de </w:t>
      </w:r>
      <w:r>
        <w:rPr>
          <w:lang w:eastAsia="ar-SA"/>
        </w:rPr>
        <w:t>RvB.</w:t>
      </w:r>
      <w:r w:rsidRPr="002237A9">
        <w:rPr>
          <w:lang w:eastAsia="ar-SA"/>
        </w:rPr>
        <w:t xml:space="preserve"> </w:t>
      </w:r>
      <w:r>
        <w:rPr>
          <w:lang w:eastAsia="ar-SA"/>
        </w:rPr>
        <w:t xml:space="preserve">Het </w:t>
      </w:r>
      <w:r w:rsidRPr="002237A9">
        <w:rPr>
          <w:lang w:eastAsia="ar-SA"/>
        </w:rPr>
        <w:t xml:space="preserve">Management is </w:t>
      </w:r>
      <w:r w:rsidR="006D0FB1">
        <w:rPr>
          <w:lang w:eastAsia="ar-SA"/>
        </w:rPr>
        <w:t xml:space="preserve">verder </w:t>
      </w:r>
      <w:r w:rsidRPr="002237A9">
        <w:rPr>
          <w:lang w:eastAsia="ar-SA"/>
        </w:rPr>
        <w:t>verantwoordelijk voor de uitvoering van het beleid en het dageli</w:t>
      </w:r>
      <w:r w:rsidR="006D0FB1">
        <w:rPr>
          <w:lang w:eastAsia="ar-SA"/>
        </w:rPr>
        <w:t xml:space="preserve">jkse management van de Bank. In de </w:t>
      </w:r>
      <w:r w:rsidR="00C02AF8">
        <w:rPr>
          <w:lang w:eastAsia="ar-SA"/>
        </w:rPr>
        <w:t>praktijk</w:t>
      </w:r>
      <w:r w:rsidR="006D0FB1">
        <w:rPr>
          <w:lang w:eastAsia="ar-SA"/>
        </w:rPr>
        <w:t xml:space="preserve"> is er </w:t>
      </w:r>
      <w:r w:rsidRPr="002237A9">
        <w:rPr>
          <w:lang w:eastAsia="ar-SA"/>
        </w:rPr>
        <w:t>een zeker (gezond) spanning</w:t>
      </w:r>
      <w:r>
        <w:rPr>
          <w:lang w:eastAsia="ar-SA"/>
        </w:rPr>
        <w:t>sveld tussen Management en RvB. Besluitvorming geschiedt in de regel op basis van consensus</w:t>
      </w:r>
      <w:r w:rsidR="006D0FB1">
        <w:rPr>
          <w:lang w:eastAsia="ar-SA"/>
        </w:rPr>
        <w:t xml:space="preserve">. Soms </w:t>
      </w:r>
      <w:r>
        <w:rPr>
          <w:lang w:eastAsia="ar-SA"/>
        </w:rPr>
        <w:t xml:space="preserve">wordt </w:t>
      </w:r>
      <w:r w:rsidR="006D0FB1">
        <w:rPr>
          <w:lang w:eastAsia="ar-SA"/>
        </w:rPr>
        <w:t xml:space="preserve">er </w:t>
      </w:r>
      <w:r>
        <w:rPr>
          <w:lang w:eastAsia="ar-SA"/>
        </w:rPr>
        <w:t>gestemd. In de Raad van Gouverneurs en de RvB heeft e</w:t>
      </w:r>
      <w:r w:rsidR="006D0FB1">
        <w:rPr>
          <w:lang w:eastAsia="ar-SA"/>
        </w:rPr>
        <w:t>lke lidstaat</w:t>
      </w:r>
      <w:r>
        <w:rPr>
          <w:lang w:eastAsia="ar-SA"/>
        </w:rPr>
        <w:t xml:space="preserve"> een gewogen stem</w:t>
      </w:r>
      <w:r w:rsidR="00D0132F">
        <w:rPr>
          <w:lang w:eastAsia="ar-SA"/>
        </w:rPr>
        <w:t>.</w:t>
      </w:r>
      <w:r>
        <w:rPr>
          <w:lang w:eastAsia="ar-SA"/>
        </w:rPr>
        <w:t xml:space="preserve"> </w:t>
      </w:r>
      <w:r w:rsidR="004F2544" w:rsidRPr="004F2544">
        <w:rPr>
          <w:lang w:eastAsia="ar-SA"/>
        </w:rPr>
        <w:t>De Bank</w:t>
      </w:r>
      <w:r w:rsidR="004F2544">
        <w:rPr>
          <w:lang w:eastAsia="ar-SA"/>
        </w:rPr>
        <w:t xml:space="preserve"> </w:t>
      </w:r>
      <w:r w:rsidR="00183F6B">
        <w:rPr>
          <w:lang w:eastAsia="ar-SA"/>
        </w:rPr>
        <w:t>heeft primair</w:t>
      </w:r>
      <w:r w:rsidR="004F2544">
        <w:rPr>
          <w:lang w:eastAsia="ar-SA"/>
        </w:rPr>
        <w:t xml:space="preserve"> een uitvoerende rol en</w:t>
      </w:r>
      <w:r w:rsidR="00183F6B">
        <w:rPr>
          <w:lang w:eastAsia="ar-SA"/>
        </w:rPr>
        <w:t xml:space="preserve"> daarnaast </w:t>
      </w:r>
      <w:r w:rsidR="004F2544">
        <w:rPr>
          <w:lang w:eastAsia="ar-SA"/>
        </w:rPr>
        <w:t>ook een beleidsadviserende rol.</w:t>
      </w:r>
    </w:p>
    <w:p w14:paraId="6B3A8898" w14:textId="77777777" w:rsidR="00C81B2D" w:rsidRDefault="00C81B2D" w:rsidP="00066F3F">
      <w:pPr>
        <w:suppressAutoHyphens/>
        <w:rPr>
          <w:lang w:eastAsia="ar-SA"/>
        </w:rPr>
      </w:pPr>
    </w:p>
    <w:p w14:paraId="6B3A8899" w14:textId="221B8BDA" w:rsidR="002D18C0" w:rsidRDefault="00BA034A" w:rsidP="002D18C0">
      <w:pPr>
        <w:rPr>
          <w:bCs/>
          <w:szCs w:val="20"/>
          <w:lang w:eastAsia="ar-SA"/>
        </w:rPr>
      </w:pPr>
      <w:r>
        <w:rPr>
          <w:bCs/>
          <w:szCs w:val="20"/>
          <w:lang w:eastAsia="ar-SA"/>
        </w:rPr>
        <w:t xml:space="preserve">Op 1 januari 2017 </w:t>
      </w:r>
      <w:r w:rsidR="00592F21">
        <w:rPr>
          <w:bCs/>
          <w:szCs w:val="20"/>
          <w:lang w:eastAsia="ar-SA"/>
        </w:rPr>
        <w:t xml:space="preserve">heeft de Bank de innovatieve stap gezet om </w:t>
      </w:r>
      <w:r w:rsidR="00424AB9">
        <w:rPr>
          <w:bCs/>
          <w:szCs w:val="20"/>
          <w:lang w:eastAsia="ar-SA"/>
        </w:rPr>
        <w:t xml:space="preserve">de </w:t>
      </w:r>
      <w:r w:rsidR="002D18C0">
        <w:rPr>
          <w:bCs/>
          <w:szCs w:val="20"/>
          <w:lang w:eastAsia="ar-SA"/>
        </w:rPr>
        <w:t>twee financieringsloketten</w:t>
      </w:r>
      <w:r w:rsidR="00424AB9">
        <w:rPr>
          <w:bCs/>
          <w:szCs w:val="20"/>
          <w:lang w:eastAsia="ar-SA"/>
        </w:rPr>
        <w:t xml:space="preserve"> die de A</w:t>
      </w:r>
      <w:r w:rsidR="00592F21">
        <w:rPr>
          <w:bCs/>
          <w:szCs w:val="20"/>
          <w:lang w:eastAsia="ar-SA"/>
        </w:rPr>
        <w:t>sDB van oudsher had samen te voegen</w:t>
      </w:r>
      <w:r w:rsidR="00424AB9">
        <w:rPr>
          <w:bCs/>
          <w:szCs w:val="20"/>
          <w:lang w:eastAsia="ar-SA"/>
        </w:rPr>
        <w:t xml:space="preserve">. </w:t>
      </w:r>
      <w:r w:rsidR="00424AB9" w:rsidRPr="00424AB9">
        <w:rPr>
          <w:bCs/>
          <w:szCs w:val="20"/>
          <w:lang w:val="en-US" w:eastAsia="ar-SA"/>
        </w:rPr>
        <w:t>Dit zijn d</w:t>
      </w:r>
      <w:r w:rsidR="002D18C0" w:rsidRPr="00424AB9">
        <w:rPr>
          <w:bCs/>
          <w:szCs w:val="20"/>
          <w:lang w:val="en-US" w:eastAsia="ar-SA"/>
        </w:rPr>
        <w:t xml:space="preserve">e </w:t>
      </w:r>
      <w:r w:rsidR="002D18C0" w:rsidRPr="00424AB9">
        <w:rPr>
          <w:bCs/>
          <w:i/>
          <w:szCs w:val="20"/>
          <w:lang w:val="en-US" w:eastAsia="ar-SA"/>
        </w:rPr>
        <w:t>Ordinary Capital Resources</w:t>
      </w:r>
      <w:r w:rsidR="002D18C0" w:rsidRPr="00424AB9">
        <w:rPr>
          <w:bCs/>
          <w:szCs w:val="20"/>
          <w:lang w:val="en-US" w:eastAsia="ar-SA"/>
        </w:rPr>
        <w:t xml:space="preserve"> (OCR) en het </w:t>
      </w:r>
      <w:r w:rsidR="002D18C0" w:rsidRPr="00424AB9">
        <w:rPr>
          <w:bCs/>
          <w:i/>
          <w:szCs w:val="20"/>
          <w:lang w:val="en-US" w:eastAsia="ar-SA"/>
        </w:rPr>
        <w:t xml:space="preserve">Asian Development Fund (ADF). </w:t>
      </w:r>
      <w:r w:rsidR="008248D0" w:rsidRPr="008248D0">
        <w:rPr>
          <w:bCs/>
          <w:szCs w:val="20"/>
          <w:lang w:eastAsia="ar-SA"/>
        </w:rPr>
        <w:t>Met de sa</w:t>
      </w:r>
      <w:r w:rsidR="008248D0">
        <w:rPr>
          <w:bCs/>
          <w:szCs w:val="20"/>
          <w:lang w:eastAsia="ar-SA"/>
        </w:rPr>
        <w:t xml:space="preserve">menvoeging worden </w:t>
      </w:r>
      <w:r w:rsidR="009461BF">
        <w:rPr>
          <w:bCs/>
          <w:szCs w:val="20"/>
          <w:lang w:eastAsia="ar-SA"/>
        </w:rPr>
        <w:t xml:space="preserve">zowel de concessionele </w:t>
      </w:r>
      <w:r w:rsidR="00B00518">
        <w:rPr>
          <w:bCs/>
          <w:szCs w:val="20"/>
          <w:lang w:eastAsia="ar-SA"/>
        </w:rPr>
        <w:t>leningen (leningen voor de armste landen)</w:t>
      </w:r>
      <w:r w:rsidR="00A53E05">
        <w:rPr>
          <w:bCs/>
          <w:szCs w:val="20"/>
          <w:lang w:eastAsia="ar-SA"/>
        </w:rPr>
        <w:t xml:space="preserve"> </w:t>
      </w:r>
      <w:r w:rsidR="009461BF">
        <w:rPr>
          <w:bCs/>
          <w:szCs w:val="20"/>
          <w:lang w:eastAsia="ar-SA"/>
        </w:rPr>
        <w:t>als niet-</w:t>
      </w:r>
      <w:r w:rsidR="00A53E05">
        <w:rPr>
          <w:bCs/>
          <w:szCs w:val="20"/>
          <w:lang w:eastAsia="ar-SA"/>
        </w:rPr>
        <w:t xml:space="preserve">concessionele leningen (leningen tegen kosten plus </w:t>
      </w:r>
      <w:r w:rsidR="00583730">
        <w:rPr>
          <w:bCs/>
          <w:szCs w:val="20"/>
          <w:lang w:eastAsia="ar-SA"/>
        </w:rPr>
        <w:t>een opslag</w:t>
      </w:r>
      <w:r w:rsidR="00A53E05">
        <w:rPr>
          <w:bCs/>
          <w:szCs w:val="20"/>
          <w:lang w:eastAsia="ar-SA"/>
        </w:rPr>
        <w:t xml:space="preserve">) </w:t>
      </w:r>
      <w:r w:rsidR="008248D0">
        <w:rPr>
          <w:bCs/>
          <w:szCs w:val="20"/>
          <w:lang w:eastAsia="ar-SA"/>
        </w:rPr>
        <w:t xml:space="preserve">uit de OCR verstrekt. </w:t>
      </w:r>
      <w:r w:rsidR="00592F21">
        <w:rPr>
          <w:bCs/>
          <w:szCs w:val="20"/>
          <w:lang w:eastAsia="ar-SA"/>
        </w:rPr>
        <w:t xml:space="preserve">Door de samenvoeging is de </w:t>
      </w:r>
      <w:r w:rsidR="00BC54BD">
        <w:rPr>
          <w:bCs/>
          <w:szCs w:val="20"/>
          <w:lang w:eastAsia="ar-SA"/>
        </w:rPr>
        <w:t>financiële</w:t>
      </w:r>
      <w:r w:rsidR="00592F21">
        <w:rPr>
          <w:bCs/>
          <w:szCs w:val="20"/>
          <w:lang w:eastAsia="ar-SA"/>
        </w:rPr>
        <w:t xml:space="preserve"> slagkracht van de Bank </w:t>
      </w:r>
      <w:r w:rsidR="00592F21">
        <w:rPr>
          <w:bCs/>
          <w:szCs w:val="20"/>
          <w:lang w:eastAsia="ar-SA"/>
        </w:rPr>
        <w:lastRenderedPageBreak/>
        <w:t xml:space="preserve">aanzienlijk vergroot, in het bijzonder voor concessionele financiering. </w:t>
      </w:r>
      <w:r w:rsidR="008248D0">
        <w:rPr>
          <w:bCs/>
          <w:szCs w:val="20"/>
          <w:lang w:eastAsia="ar-SA"/>
        </w:rPr>
        <w:t>Voorheen kwamen de leningen</w:t>
      </w:r>
      <w:r w:rsidR="00C83425">
        <w:rPr>
          <w:bCs/>
          <w:szCs w:val="20"/>
          <w:lang w:eastAsia="ar-SA"/>
        </w:rPr>
        <w:t xml:space="preserve"> op concessionele voorwaarden uit het ADF. </w:t>
      </w:r>
      <w:r w:rsidR="00DB24EF">
        <w:rPr>
          <w:bCs/>
          <w:szCs w:val="20"/>
          <w:lang w:eastAsia="ar-SA"/>
        </w:rPr>
        <w:t>Het ADF blijft voort</w:t>
      </w:r>
      <w:r w:rsidR="00F72479">
        <w:rPr>
          <w:bCs/>
          <w:szCs w:val="20"/>
          <w:lang w:eastAsia="ar-SA"/>
        </w:rPr>
        <w:t>bestaan voor het verstrekken van schenkingen.</w:t>
      </w:r>
      <w:r w:rsidR="00DB24EF">
        <w:rPr>
          <w:bCs/>
          <w:szCs w:val="20"/>
          <w:lang w:eastAsia="ar-SA"/>
        </w:rPr>
        <w:t xml:space="preserve"> </w:t>
      </w:r>
      <w:r w:rsidR="002D18C0">
        <w:rPr>
          <w:bCs/>
          <w:szCs w:val="20"/>
          <w:lang w:eastAsia="ar-SA"/>
        </w:rPr>
        <w:t>Leningen aan de</w:t>
      </w:r>
      <w:r w:rsidR="00B00518">
        <w:rPr>
          <w:bCs/>
          <w:szCs w:val="20"/>
          <w:lang w:eastAsia="ar-SA"/>
        </w:rPr>
        <w:t xml:space="preserve"> private sector zijn altijd OCR-</w:t>
      </w:r>
      <w:r w:rsidR="002D18C0">
        <w:rPr>
          <w:bCs/>
          <w:szCs w:val="20"/>
          <w:lang w:eastAsia="ar-SA"/>
        </w:rPr>
        <w:t>leningen.</w:t>
      </w:r>
    </w:p>
    <w:p w14:paraId="6B3A889A" w14:textId="77777777" w:rsidR="002D18C0" w:rsidRDefault="002D18C0" w:rsidP="002D18C0">
      <w:pPr>
        <w:rPr>
          <w:bCs/>
          <w:szCs w:val="20"/>
          <w:lang w:eastAsia="ar-SA"/>
        </w:rPr>
      </w:pPr>
    </w:p>
    <w:p w14:paraId="6B3A889B" w14:textId="77777777" w:rsidR="00C81B2D" w:rsidRDefault="00B00518" w:rsidP="002D18C0">
      <w:pPr>
        <w:rPr>
          <w:szCs w:val="22"/>
        </w:rPr>
      </w:pPr>
      <w:r>
        <w:rPr>
          <w:bCs/>
          <w:szCs w:val="20"/>
          <w:lang w:eastAsia="ar-SA"/>
        </w:rPr>
        <w:t xml:space="preserve">Naast de OCR- en ADF-middelen heeft de AsDB </w:t>
      </w:r>
      <w:r w:rsidR="002D18C0">
        <w:rPr>
          <w:bCs/>
          <w:szCs w:val="20"/>
          <w:lang w:eastAsia="ar-SA"/>
        </w:rPr>
        <w:t>speciale fondsen (door d</w:t>
      </w:r>
      <w:r w:rsidR="00E85CF3">
        <w:rPr>
          <w:bCs/>
          <w:szCs w:val="20"/>
          <w:lang w:eastAsia="ar-SA"/>
        </w:rPr>
        <w:t xml:space="preserve">e Bank zelf gefinancierd) en </w:t>
      </w:r>
      <w:r w:rsidR="002D18C0" w:rsidRPr="00277A5F">
        <w:rPr>
          <w:bCs/>
          <w:i/>
          <w:szCs w:val="20"/>
          <w:lang w:eastAsia="ar-SA"/>
        </w:rPr>
        <w:t>Trust Funds</w:t>
      </w:r>
      <w:r w:rsidR="002D18C0">
        <w:rPr>
          <w:bCs/>
          <w:szCs w:val="20"/>
          <w:lang w:eastAsia="ar-SA"/>
        </w:rPr>
        <w:t xml:space="preserve"> (gefinancierd door donoren). Deze aanvullende middelen zijn in omvang ondergesch</w:t>
      </w:r>
      <w:r w:rsidR="00C81B2D">
        <w:rPr>
          <w:bCs/>
          <w:szCs w:val="20"/>
          <w:lang w:eastAsia="ar-SA"/>
        </w:rPr>
        <w:t>ikt aan de OCR- en ADF-middelen.</w:t>
      </w:r>
    </w:p>
    <w:p w14:paraId="6B3A889C" w14:textId="77777777" w:rsidR="00C81B2D" w:rsidRDefault="00C81B2D" w:rsidP="002D18C0">
      <w:pPr>
        <w:rPr>
          <w:szCs w:val="22"/>
        </w:rPr>
      </w:pPr>
    </w:p>
    <w:p w14:paraId="6B3A889D" w14:textId="46CB19EF" w:rsidR="003E16C3" w:rsidRPr="00E85CF3" w:rsidRDefault="006D0FB1" w:rsidP="002D18C0">
      <w:pPr>
        <w:rPr>
          <w:szCs w:val="22"/>
        </w:rPr>
      </w:pPr>
      <w:r>
        <w:rPr>
          <w:bCs/>
          <w:szCs w:val="20"/>
          <w:lang w:eastAsia="ar-SA"/>
        </w:rPr>
        <w:t xml:space="preserve">De AsDB heeft drie strategische </w:t>
      </w:r>
      <w:r w:rsidR="0066099D">
        <w:rPr>
          <w:bCs/>
          <w:szCs w:val="20"/>
          <w:lang w:eastAsia="ar-SA"/>
        </w:rPr>
        <w:t xml:space="preserve">focusgebieden </w:t>
      </w:r>
      <w:r w:rsidR="0030578A">
        <w:rPr>
          <w:bCs/>
          <w:szCs w:val="20"/>
          <w:lang w:eastAsia="ar-SA"/>
        </w:rPr>
        <w:t>voor de jaren 2008 - 2020</w:t>
      </w:r>
      <w:r>
        <w:rPr>
          <w:bCs/>
          <w:szCs w:val="20"/>
          <w:lang w:eastAsia="ar-SA"/>
        </w:rPr>
        <w:t>, beschreven in haar lange</w:t>
      </w:r>
      <w:r w:rsidR="00BC54BD">
        <w:rPr>
          <w:bCs/>
          <w:szCs w:val="20"/>
          <w:lang w:eastAsia="ar-SA"/>
        </w:rPr>
        <w:t>termijn</w:t>
      </w:r>
      <w:r w:rsidR="002D18C0">
        <w:rPr>
          <w:bCs/>
          <w:szCs w:val="20"/>
          <w:lang w:eastAsia="ar-SA"/>
        </w:rPr>
        <w:t xml:space="preserve">strategie </w:t>
      </w:r>
      <w:r w:rsidR="002D18C0">
        <w:rPr>
          <w:bCs/>
          <w:i/>
          <w:szCs w:val="20"/>
          <w:lang w:eastAsia="ar-SA"/>
        </w:rPr>
        <w:t>Strategy 2020</w:t>
      </w:r>
      <w:r>
        <w:rPr>
          <w:bCs/>
          <w:szCs w:val="20"/>
          <w:lang w:eastAsia="ar-SA"/>
        </w:rPr>
        <w:t xml:space="preserve">. Dit zijn </w:t>
      </w:r>
      <w:r w:rsidR="002D18C0">
        <w:rPr>
          <w:bCs/>
          <w:szCs w:val="20"/>
          <w:lang w:eastAsia="ar-SA"/>
        </w:rPr>
        <w:t xml:space="preserve">inclusieve economische groei, </w:t>
      </w:r>
      <w:r w:rsidR="00F54198">
        <w:rPr>
          <w:bCs/>
          <w:szCs w:val="20"/>
          <w:lang w:eastAsia="ar-SA"/>
        </w:rPr>
        <w:t xml:space="preserve">ecologisch duurzame </w:t>
      </w:r>
      <w:r w:rsidR="002D18C0">
        <w:rPr>
          <w:bCs/>
          <w:szCs w:val="20"/>
          <w:lang w:eastAsia="ar-SA"/>
        </w:rPr>
        <w:t xml:space="preserve">groei en regionale economische integratie. </w:t>
      </w:r>
      <w:r w:rsidR="00BE01E1">
        <w:rPr>
          <w:bCs/>
          <w:szCs w:val="20"/>
          <w:lang w:eastAsia="ar-SA"/>
        </w:rPr>
        <w:t>D</w:t>
      </w:r>
      <w:r w:rsidR="00F54198">
        <w:rPr>
          <w:bCs/>
          <w:szCs w:val="20"/>
          <w:lang w:eastAsia="ar-SA"/>
        </w:rPr>
        <w:t xml:space="preserve">e Bank </w:t>
      </w:r>
      <w:r w:rsidR="00BE01E1">
        <w:rPr>
          <w:bCs/>
          <w:szCs w:val="20"/>
          <w:lang w:eastAsia="ar-SA"/>
        </w:rPr>
        <w:t xml:space="preserve">richt </w:t>
      </w:r>
      <w:r w:rsidR="00F54198">
        <w:rPr>
          <w:bCs/>
          <w:szCs w:val="20"/>
          <w:lang w:eastAsia="ar-SA"/>
        </w:rPr>
        <w:t xml:space="preserve">zich </w:t>
      </w:r>
      <w:r w:rsidR="00BE01E1">
        <w:rPr>
          <w:bCs/>
          <w:szCs w:val="20"/>
          <w:lang w:eastAsia="ar-SA"/>
        </w:rPr>
        <w:t xml:space="preserve">hiervoor </w:t>
      </w:r>
      <w:r w:rsidR="00F54198">
        <w:rPr>
          <w:bCs/>
          <w:szCs w:val="20"/>
          <w:lang w:eastAsia="ar-SA"/>
        </w:rPr>
        <w:t>op</w:t>
      </w:r>
      <w:r w:rsidR="002D18C0">
        <w:rPr>
          <w:bCs/>
          <w:szCs w:val="20"/>
          <w:lang w:eastAsia="ar-SA"/>
        </w:rPr>
        <w:t xml:space="preserve"> vijf </w:t>
      </w:r>
      <w:r w:rsidR="002D18C0">
        <w:rPr>
          <w:bCs/>
          <w:i/>
          <w:szCs w:val="20"/>
          <w:lang w:eastAsia="ar-SA"/>
        </w:rPr>
        <w:t xml:space="preserve">core operational </w:t>
      </w:r>
      <w:r w:rsidR="002D18C0" w:rsidRPr="00F54198">
        <w:rPr>
          <w:bCs/>
          <w:szCs w:val="20"/>
          <w:lang w:eastAsia="ar-SA"/>
        </w:rPr>
        <w:t>areas</w:t>
      </w:r>
      <w:r w:rsidR="00F54198">
        <w:rPr>
          <w:bCs/>
          <w:szCs w:val="20"/>
          <w:lang w:eastAsia="ar-SA"/>
        </w:rPr>
        <w:t xml:space="preserve">, namelijk </w:t>
      </w:r>
      <w:r w:rsidR="002D18C0" w:rsidRPr="00F54198">
        <w:rPr>
          <w:bCs/>
          <w:szCs w:val="20"/>
          <w:lang w:eastAsia="ar-SA"/>
        </w:rPr>
        <w:t>infrastructuur</w:t>
      </w:r>
      <w:r w:rsidR="002D18C0">
        <w:rPr>
          <w:bCs/>
          <w:szCs w:val="20"/>
          <w:lang w:eastAsia="ar-SA"/>
        </w:rPr>
        <w:t>, milieu, regionale samenwerking</w:t>
      </w:r>
      <w:r w:rsidR="00F54198">
        <w:rPr>
          <w:bCs/>
          <w:szCs w:val="20"/>
          <w:lang w:eastAsia="ar-SA"/>
        </w:rPr>
        <w:t xml:space="preserve"> en integratie</w:t>
      </w:r>
      <w:r w:rsidR="002D18C0">
        <w:rPr>
          <w:bCs/>
          <w:szCs w:val="20"/>
          <w:lang w:eastAsia="ar-SA"/>
        </w:rPr>
        <w:t xml:space="preserve">, </w:t>
      </w:r>
      <w:r w:rsidR="00F54198">
        <w:rPr>
          <w:bCs/>
          <w:szCs w:val="20"/>
          <w:lang w:eastAsia="ar-SA"/>
        </w:rPr>
        <w:t xml:space="preserve">ontwikkeling van de </w:t>
      </w:r>
      <w:r w:rsidR="008C58CA">
        <w:rPr>
          <w:bCs/>
          <w:szCs w:val="20"/>
          <w:lang w:eastAsia="ar-SA"/>
        </w:rPr>
        <w:t xml:space="preserve">financiële sector en onderwijs. Daarnaast identificeert de Bank in </w:t>
      </w:r>
      <w:r w:rsidR="008C58CA">
        <w:rPr>
          <w:bCs/>
          <w:i/>
          <w:szCs w:val="20"/>
          <w:lang w:eastAsia="ar-SA"/>
        </w:rPr>
        <w:t>Strategy 2020</w:t>
      </w:r>
      <w:r w:rsidR="008C58CA">
        <w:rPr>
          <w:bCs/>
          <w:szCs w:val="20"/>
          <w:lang w:eastAsia="ar-SA"/>
        </w:rPr>
        <w:t xml:space="preserve"> </w:t>
      </w:r>
      <w:r w:rsidR="002D18C0">
        <w:rPr>
          <w:bCs/>
          <w:szCs w:val="20"/>
          <w:lang w:eastAsia="ar-SA"/>
        </w:rPr>
        <w:t xml:space="preserve">vijf </w:t>
      </w:r>
      <w:r w:rsidR="002D18C0">
        <w:rPr>
          <w:bCs/>
          <w:i/>
          <w:szCs w:val="20"/>
          <w:lang w:eastAsia="ar-SA"/>
        </w:rPr>
        <w:t>drivers of c</w:t>
      </w:r>
      <w:r w:rsidR="0030578A">
        <w:rPr>
          <w:bCs/>
          <w:i/>
          <w:szCs w:val="20"/>
          <w:lang w:eastAsia="ar-SA"/>
        </w:rPr>
        <w:t xml:space="preserve">hange, </w:t>
      </w:r>
      <w:r w:rsidR="0030578A">
        <w:rPr>
          <w:bCs/>
          <w:szCs w:val="20"/>
          <w:lang w:eastAsia="ar-SA"/>
        </w:rPr>
        <w:t xml:space="preserve">te weten </w:t>
      </w:r>
      <w:r w:rsidR="002D18C0">
        <w:rPr>
          <w:bCs/>
          <w:szCs w:val="20"/>
          <w:lang w:eastAsia="ar-SA"/>
        </w:rPr>
        <w:t>private sector</w:t>
      </w:r>
      <w:r w:rsidR="008C58CA">
        <w:rPr>
          <w:bCs/>
          <w:szCs w:val="20"/>
          <w:lang w:eastAsia="ar-SA"/>
        </w:rPr>
        <w:t>ontwikkeling</w:t>
      </w:r>
      <w:r w:rsidR="002D18C0">
        <w:rPr>
          <w:bCs/>
          <w:szCs w:val="20"/>
          <w:lang w:eastAsia="ar-SA"/>
        </w:rPr>
        <w:t>, goed bestuur, gender</w:t>
      </w:r>
      <w:r w:rsidR="008C58CA">
        <w:rPr>
          <w:bCs/>
          <w:szCs w:val="20"/>
          <w:lang w:eastAsia="ar-SA"/>
        </w:rPr>
        <w:t>gelijkheid</w:t>
      </w:r>
      <w:r w:rsidR="0030578A">
        <w:rPr>
          <w:bCs/>
          <w:szCs w:val="20"/>
          <w:lang w:eastAsia="ar-SA"/>
        </w:rPr>
        <w:t>, kennis en partnerschappen</w:t>
      </w:r>
      <w:r w:rsidR="002D18C0">
        <w:rPr>
          <w:bCs/>
          <w:szCs w:val="20"/>
          <w:lang w:eastAsia="ar-SA"/>
        </w:rPr>
        <w:t xml:space="preserve">. De hoofdlijnen van de </w:t>
      </w:r>
      <w:r w:rsidR="00F54198">
        <w:rPr>
          <w:bCs/>
          <w:i/>
          <w:szCs w:val="20"/>
          <w:lang w:eastAsia="ar-SA"/>
        </w:rPr>
        <w:t xml:space="preserve">Strategy </w:t>
      </w:r>
      <w:r w:rsidR="00F54198" w:rsidRPr="00F54198">
        <w:rPr>
          <w:bCs/>
          <w:szCs w:val="20"/>
          <w:lang w:eastAsia="ar-SA"/>
        </w:rPr>
        <w:t>2020</w:t>
      </w:r>
      <w:r w:rsidR="008C58CA">
        <w:rPr>
          <w:bCs/>
          <w:szCs w:val="20"/>
          <w:lang w:eastAsia="ar-SA"/>
        </w:rPr>
        <w:t xml:space="preserve"> zijn </w:t>
      </w:r>
      <w:r w:rsidR="00F54198">
        <w:rPr>
          <w:bCs/>
          <w:szCs w:val="20"/>
          <w:lang w:eastAsia="ar-SA"/>
        </w:rPr>
        <w:t xml:space="preserve">na </w:t>
      </w:r>
      <w:r w:rsidR="002D18C0" w:rsidRPr="00F54198">
        <w:rPr>
          <w:bCs/>
          <w:szCs w:val="20"/>
          <w:lang w:eastAsia="ar-SA"/>
        </w:rPr>
        <w:t>de</w:t>
      </w:r>
      <w:r w:rsidR="002D18C0">
        <w:rPr>
          <w:bCs/>
          <w:szCs w:val="20"/>
          <w:lang w:eastAsia="ar-SA"/>
        </w:rPr>
        <w:t xml:space="preserve"> </w:t>
      </w:r>
      <w:r w:rsidR="002D18C0" w:rsidRPr="00AE20E6">
        <w:rPr>
          <w:bCs/>
          <w:i/>
          <w:szCs w:val="20"/>
          <w:lang w:eastAsia="ar-SA"/>
        </w:rPr>
        <w:t>Mid Term Review</w:t>
      </w:r>
      <w:r w:rsidR="00F54198">
        <w:rPr>
          <w:bCs/>
          <w:szCs w:val="20"/>
          <w:lang w:eastAsia="ar-SA"/>
        </w:rPr>
        <w:t xml:space="preserve"> in 2014 in stand</w:t>
      </w:r>
      <w:r w:rsidR="008C58CA">
        <w:rPr>
          <w:bCs/>
          <w:szCs w:val="20"/>
          <w:lang w:eastAsia="ar-SA"/>
        </w:rPr>
        <w:t xml:space="preserve"> gebleven</w:t>
      </w:r>
      <w:r w:rsidR="002D18C0">
        <w:rPr>
          <w:bCs/>
          <w:szCs w:val="20"/>
          <w:lang w:eastAsia="ar-SA"/>
        </w:rPr>
        <w:t>. Wel werd</w:t>
      </w:r>
      <w:r w:rsidR="008C58CA">
        <w:rPr>
          <w:bCs/>
          <w:szCs w:val="20"/>
          <w:lang w:eastAsia="ar-SA"/>
        </w:rPr>
        <w:t xml:space="preserve"> het </w:t>
      </w:r>
      <w:r w:rsidR="002D18C0">
        <w:rPr>
          <w:bCs/>
          <w:szCs w:val="20"/>
          <w:lang w:eastAsia="ar-SA"/>
        </w:rPr>
        <w:t>fragiele staten</w:t>
      </w:r>
      <w:r w:rsidR="008C58CA">
        <w:rPr>
          <w:bCs/>
          <w:szCs w:val="20"/>
          <w:lang w:eastAsia="ar-SA"/>
        </w:rPr>
        <w:t>beleid aangescherpt</w:t>
      </w:r>
      <w:r w:rsidR="002D18C0">
        <w:rPr>
          <w:bCs/>
          <w:szCs w:val="20"/>
          <w:lang w:eastAsia="ar-SA"/>
        </w:rPr>
        <w:t xml:space="preserve"> en wer</w:t>
      </w:r>
      <w:r w:rsidR="008C58CA">
        <w:rPr>
          <w:bCs/>
          <w:szCs w:val="20"/>
          <w:lang w:eastAsia="ar-SA"/>
        </w:rPr>
        <w:t xml:space="preserve">den de ambities geïntensiveerd voor </w:t>
      </w:r>
      <w:r w:rsidR="002D18C0">
        <w:rPr>
          <w:bCs/>
          <w:szCs w:val="20"/>
          <w:lang w:eastAsia="ar-SA"/>
        </w:rPr>
        <w:t>private secto</w:t>
      </w:r>
      <w:r w:rsidR="0030578A">
        <w:rPr>
          <w:bCs/>
          <w:szCs w:val="20"/>
          <w:lang w:eastAsia="ar-SA"/>
        </w:rPr>
        <w:t>r</w:t>
      </w:r>
      <w:r w:rsidR="008C58CA">
        <w:rPr>
          <w:bCs/>
          <w:szCs w:val="20"/>
          <w:lang w:eastAsia="ar-SA"/>
        </w:rPr>
        <w:t xml:space="preserve">ontwikkeling en het tegengaan van </w:t>
      </w:r>
      <w:r w:rsidR="00E85CF3">
        <w:rPr>
          <w:bCs/>
          <w:szCs w:val="20"/>
          <w:lang w:eastAsia="ar-SA"/>
        </w:rPr>
        <w:t>klimaatverandering. I</w:t>
      </w:r>
      <w:r w:rsidR="002A3153">
        <w:t>n 2016 vonden consultaties plaats met donoren</w:t>
      </w:r>
      <w:r w:rsidR="00981080">
        <w:t xml:space="preserve"> en het maatschappelijk middenveld</w:t>
      </w:r>
      <w:r w:rsidR="00BC54BD">
        <w:t xml:space="preserve"> voor de nieuwe langetermijn</w:t>
      </w:r>
      <w:r w:rsidR="002A3153">
        <w:t xml:space="preserve">strategie van de Bank, </w:t>
      </w:r>
      <w:r w:rsidR="002A3153">
        <w:rPr>
          <w:i/>
        </w:rPr>
        <w:t xml:space="preserve">Strategy 2030. </w:t>
      </w:r>
      <w:r w:rsidR="00BC5321">
        <w:t>Dit</w:t>
      </w:r>
      <w:r w:rsidR="002A3153">
        <w:t xml:space="preserve"> strategie</w:t>
      </w:r>
      <w:r w:rsidR="00BC5321">
        <w:t>document</w:t>
      </w:r>
      <w:r w:rsidR="002A3153">
        <w:t xml:space="preserve"> </w:t>
      </w:r>
      <w:r w:rsidR="0066099D">
        <w:t>wordt naar</w:t>
      </w:r>
      <w:r w:rsidR="00215884">
        <w:t xml:space="preserve"> verwachting </w:t>
      </w:r>
      <w:r w:rsidR="0066099D">
        <w:t xml:space="preserve">tijdens de jaarvergadering in </w:t>
      </w:r>
      <w:r w:rsidR="00215884">
        <w:t xml:space="preserve">2018 afgerond. </w:t>
      </w:r>
    </w:p>
    <w:p w14:paraId="6B3A889E" w14:textId="77777777" w:rsidR="003E16C3" w:rsidRDefault="003E16C3" w:rsidP="002D18C0"/>
    <w:p w14:paraId="6B3A889F" w14:textId="42A29949" w:rsidR="00166044" w:rsidRDefault="003E16C3" w:rsidP="008D16FD">
      <w:r>
        <w:t xml:space="preserve">De onafhankelijke evaluatieafdeling van de Bank heeft de afgelopen twee </w:t>
      </w:r>
      <w:r w:rsidR="008A7020">
        <w:t xml:space="preserve">jaar </w:t>
      </w:r>
      <w:r>
        <w:t>verschillende voor Nederland relevante beleidsevaluaties uitgevoerd. Zo is er onderzoek gedaan naar</w:t>
      </w:r>
      <w:r w:rsidR="008A7020">
        <w:t xml:space="preserve"> de duurzaamheid van de activiteiten van de Bank op het gebied van stedelijk wateraanbod en sanitatie</w:t>
      </w:r>
      <w:r w:rsidR="001C5FFA">
        <w:t>.</w:t>
      </w:r>
      <w:r w:rsidR="00901C30">
        <w:t xml:space="preserve"> </w:t>
      </w:r>
      <w:r w:rsidR="00D13305">
        <w:t>Een ander voorbeeld is een breed ingestoken evaluatie naar het optimaliseren van resultaten over alle drie de strategische agenda’s</w:t>
      </w:r>
      <w:r w:rsidR="001C5FFA">
        <w:t>.</w:t>
      </w:r>
      <w:r w:rsidR="00FF7796">
        <w:t xml:space="preserve"> De uitkomst is onder meer dat het gebruik van </w:t>
      </w:r>
      <w:r w:rsidR="00C02AF8">
        <w:t>synergiën</w:t>
      </w:r>
      <w:r w:rsidR="00FF7796">
        <w:t xml:space="preserve"> tussen sectoren en het aangaan van partnerschappen van groot belang zijn. </w:t>
      </w:r>
      <w:r>
        <w:t xml:space="preserve">Alle </w:t>
      </w:r>
      <w:r w:rsidR="00C02AF8">
        <w:t>evaluatierapporten</w:t>
      </w:r>
      <w:r w:rsidR="00BF50CD">
        <w:t xml:space="preserve"> zijn te </w:t>
      </w:r>
      <w:r w:rsidR="0066099D">
        <w:t xml:space="preserve">raadplegen </w:t>
      </w:r>
      <w:r w:rsidR="00BF50CD">
        <w:t xml:space="preserve">op </w:t>
      </w:r>
      <w:r w:rsidR="00224C29">
        <w:t>de website van de Bank.</w:t>
      </w:r>
      <w:r w:rsidR="003D1046">
        <w:t xml:space="preserve"> </w:t>
      </w:r>
    </w:p>
    <w:p w14:paraId="72DF63B4" w14:textId="77777777" w:rsidR="00514A54" w:rsidRPr="009C4AAC" w:rsidRDefault="00514A54" w:rsidP="008D16FD"/>
    <w:p w14:paraId="6B3A88A0" w14:textId="77777777" w:rsidR="00635B76" w:rsidRPr="00635B76" w:rsidRDefault="003A61BE" w:rsidP="003A61BE">
      <w:pPr>
        <w:pStyle w:val="Heading2"/>
        <w:tabs>
          <w:tab w:val="left" w:pos="-1162"/>
          <w:tab w:val="left" w:pos="0"/>
          <w:tab w:val="num" w:pos="1160"/>
        </w:tabs>
        <w:spacing w:line="240" w:lineRule="auto"/>
        <w:ind w:hanging="1162"/>
      </w:pPr>
      <w:bookmarkStart w:id="27" w:name="_Toc491437342"/>
      <w:r w:rsidRPr="00224C29">
        <w:rPr>
          <w:lang w:val="nl-NL"/>
        </w:rPr>
        <w:t>3</w:t>
      </w:r>
      <w:r w:rsidR="00F24A31">
        <w:t xml:space="preserve">.3 </w:t>
      </w:r>
      <w:r w:rsidR="00F24A31">
        <w:tab/>
      </w:r>
      <w:r w:rsidR="00D745A7">
        <w:t xml:space="preserve">Nederlandse </w:t>
      </w:r>
      <w:r w:rsidR="000304C1">
        <w:t>rol en invloed</w:t>
      </w:r>
      <w:bookmarkEnd w:id="27"/>
    </w:p>
    <w:p w14:paraId="6B3A88A1" w14:textId="77777777" w:rsidR="00635B76" w:rsidRDefault="00635B76" w:rsidP="00635B76">
      <w:pPr>
        <w:suppressAutoHyphens/>
        <w:rPr>
          <w:lang w:eastAsia="ar-SA"/>
        </w:rPr>
      </w:pPr>
      <w:r>
        <w:rPr>
          <w:lang w:eastAsia="ar-SA"/>
        </w:rPr>
        <w:t xml:space="preserve">In de Raad van Gouverneurs wordt </w:t>
      </w:r>
      <w:r w:rsidRPr="002237A9">
        <w:rPr>
          <w:lang w:eastAsia="ar-SA"/>
        </w:rPr>
        <w:t xml:space="preserve">Nederland </w:t>
      </w:r>
      <w:r>
        <w:rPr>
          <w:lang w:eastAsia="ar-SA"/>
        </w:rPr>
        <w:t>vertegenwoordigd door de Minister voor Buitenlandse Handel en</w:t>
      </w:r>
      <w:r w:rsidRPr="002237A9">
        <w:rPr>
          <w:lang w:eastAsia="ar-SA"/>
        </w:rPr>
        <w:t xml:space="preserve"> Ontwikkelingssamenwerking</w:t>
      </w:r>
      <w:r w:rsidR="000E4DC0">
        <w:rPr>
          <w:lang w:eastAsia="ar-SA"/>
        </w:rPr>
        <w:t>. D</w:t>
      </w:r>
      <w:r>
        <w:rPr>
          <w:lang w:eastAsia="ar-SA"/>
        </w:rPr>
        <w:t xml:space="preserve">e </w:t>
      </w:r>
      <w:r w:rsidRPr="002237A9">
        <w:rPr>
          <w:lang w:eastAsia="ar-SA"/>
        </w:rPr>
        <w:t>Directeur</w:t>
      </w:r>
      <w:r>
        <w:rPr>
          <w:lang w:eastAsia="ar-SA"/>
        </w:rPr>
        <w:t>-</w:t>
      </w:r>
      <w:r w:rsidRPr="002237A9">
        <w:rPr>
          <w:lang w:eastAsia="ar-SA"/>
        </w:rPr>
        <w:t>Generaal Internationale Samenwerking</w:t>
      </w:r>
      <w:r w:rsidR="000E4DC0">
        <w:rPr>
          <w:lang w:eastAsia="ar-SA"/>
        </w:rPr>
        <w:t xml:space="preserve"> is </w:t>
      </w:r>
      <w:r w:rsidRPr="002237A9">
        <w:rPr>
          <w:lang w:eastAsia="ar-SA"/>
        </w:rPr>
        <w:t>plaatsvervangend Gouverneur</w:t>
      </w:r>
      <w:r>
        <w:rPr>
          <w:lang w:eastAsia="ar-SA"/>
        </w:rPr>
        <w:t>.</w:t>
      </w:r>
    </w:p>
    <w:p w14:paraId="6B3A88A2" w14:textId="77777777" w:rsidR="00635B76" w:rsidRDefault="00635B76" w:rsidP="00635B76">
      <w:pPr>
        <w:suppressAutoHyphens/>
        <w:rPr>
          <w:lang w:eastAsia="ar-SA"/>
        </w:rPr>
      </w:pPr>
    </w:p>
    <w:p w14:paraId="6B3A88A3" w14:textId="77777777" w:rsidR="00635B76" w:rsidRPr="002237A9" w:rsidRDefault="00635B76" w:rsidP="00635B76">
      <w:pPr>
        <w:suppressAutoHyphens/>
        <w:rPr>
          <w:lang w:eastAsia="ar-SA"/>
        </w:rPr>
      </w:pPr>
      <w:r w:rsidRPr="002237A9">
        <w:rPr>
          <w:lang w:eastAsia="ar-SA"/>
        </w:rPr>
        <w:t xml:space="preserve">Nederland </w:t>
      </w:r>
      <w:r>
        <w:rPr>
          <w:lang w:eastAsia="ar-SA"/>
        </w:rPr>
        <w:t xml:space="preserve">vormt een </w:t>
      </w:r>
      <w:r w:rsidR="0073673D">
        <w:rPr>
          <w:lang w:eastAsia="ar-SA"/>
        </w:rPr>
        <w:t>K</w:t>
      </w:r>
      <w:r w:rsidRPr="002237A9">
        <w:rPr>
          <w:lang w:eastAsia="ar-SA"/>
        </w:rPr>
        <w:t xml:space="preserve">iesgroep </w:t>
      </w:r>
      <w:r>
        <w:rPr>
          <w:lang w:eastAsia="ar-SA"/>
        </w:rPr>
        <w:t xml:space="preserve">samen </w:t>
      </w:r>
      <w:r w:rsidRPr="002237A9">
        <w:rPr>
          <w:lang w:eastAsia="ar-SA"/>
        </w:rPr>
        <w:t xml:space="preserve">met Canada, Denemarken, Finland, Ierland, Noorwegen en Zweden. </w:t>
      </w:r>
      <w:r>
        <w:rPr>
          <w:lang w:eastAsia="ar-SA"/>
        </w:rPr>
        <w:t>Nederland heeft 1,12% van het</w:t>
      </w:r>
      <w:r w:rsidR="00F2428D">
        <w:rPr>
          <w:lang w:eastAsia="ar-SA"/>
        </w:rPr>
        <w:t xml:space="preserve"> totale stemrecht binnen de AsDB</w:t>
      </w:r>
      <w:r>
        <w:rPr>
          <w:lang w:eastAsia="ar-SA"/>
        </w:rPr>
        <w:t>. Voor de kiesgroep als geheel is dat 8</w:t>
      </w:r>
      <w:r w:rsidRPr="002237A9">
        <w:rPr>
          <w:lang w:eastAsia="ar-SA"/>
        </w:rPr>
        <w:t>,</w:t>
      </w:r>
      <w:r w:rsidR="00F2428D">
        <w:rPr>
          <w:lang w:eastAsia="ar-SA"/>
        </w:rPr>
        <w:t>46</w:t>
      </w:r>
      <w:r w:rsidRPr="002237A9">
        <w:rPr>
          <w:lang w:eastAsia="ar-SA"/>
        </w:rPr>
        <w:t>%</w:t>
      </w:r>
      <w:r>
        <w:rPr>
          <w:lang w:eastAsia="ar-SA"/>
        </w:rPr>
        <w:t>.</w:t>
      </w:r>
      <w:r w:rsidR="00A3534E">
        <w:rPr>
          <w:lang w:eastAsia="ar-SA"/>
        </w:rPr>
        <w:t xml:space="preserve"> Canada levert altijd de bewindvoerder voor deze Kiesgroep</w:t>
      </w:r>
      <w:r>
        <w:rPr>
          <w:lang w:eastAsia="ar-SA"/>
        </w:rPr>
        <w:t xml:space="preserve">, omdat Canada veruit de grootste </w:t>
      </w:r>
      <w:r w:rsidR="00A3534E">
        <w:rPr>
          <w:lang w:eastAsia="ar-SA"/>
        </w:rPr>
        <w:t>aandeelhouder is binnen de K</w:t>
      </w:r>
      <w:r>
        <w:rPr>
          <w:lang w:eastAsia="ar-SA"/>
        </w:rPr>
        <w:t>iesgroep</w:t>
      </w:r>
      <w:r w:rsidRPr="002237A9">
        <w:rPr>
          <w:lang w:eastAsia="ar-SA"/>
        </w:rPr>
        <w:t xml:space="preserve">. De functies van plaatsvervangend </w:t>
      </w:r>
      <w:r w:rsidR="00696610" w:rsidRPr="002237A9">
        <w:rPr>
          <w:lang w:eastAsia="ar-SA"/>
        </w:rPr>
        <w:t>bewindvoerder</w:t>
      </w:r>
      <w:r w:rsidR="00E85CF3">
        <w:rPr>
          <w:lang w:eastAsia="ar-SA"/>
        </w:rPr>
        <w:t xml:space="preserve"> en</w:t>
      </w:r>
      <w:r w:rsidR="00696610" w:rsidRPr="002237A9">
        <w:rPr>
          <w:lang w:eastAsia="ar-SA"/>
        </w:rPr>
        <w:t xml:space="preserve"> de</w:t>
      </w:r>
      <w:r w:rsidR="00D04E55">
        <w:rPr>
          <w:lang w:eastAsia="ar-SA"/>
        </w:rPr>
        <w:t xml:space="preserve"> twee </w:t>
      </w:r>
      <w:r w:rsidRPr="002237A9">
        <w:rPr>
          <w:lang w:eastAsia="ar-SA"/>
        </w:rPr>
        <w:t>adviseur</w:t>
      </w:r>
      <w:r w:rsidR="00D04E55">
        <w:rPr>
          <w:lang w:eastAsia="ar-SA"/>
        </w:rPr>
        <w:t>s</w:t>
      </w:r>
      <w:r w:rsidRPr="002237A9">
        <w:rPr>
          <w:lang w:eastAsia="ar-SA"/>
        </w:rPr>
        <w:t xml:space="preserve"> rouleren</w:t>
      </w:r>
      <w:r w:rsidR="00E85CF3">
        <w:rPr>
          <w:lang w:eastAsia="ar-SA"/>
        </w:rPr>
        <w:t xml:space="preserve">. Nederland heeft vrijwel altijd een van de functies. </w:t>
      </w:r>
    </w:p>
    <w:p w14:paraId="6B3A88A4" w14:textId="77777777" w:rsidR="00635B76" w:rsidRDefault="00635B76" w:rsidP="00635B76"/>
    <w:p w14:paraId="6B3A88A5" w14:textId="420645F5" w:rsidR="00F303D9" w:rsidRDefault="00D13C6D" w:rsidP="008D16FD">
      <w:pPr>
        <w:suppressAutoHyphens/>
        <w:rPr>
          <w:lang w:eastAsia="ar-SA"/>
        </w:rPr>
      </w:pPr>
      <w:r>
        <w:rPr>
          <w:lang w:eastAsia="ar-SA"/>
        </w:rPr>
        <w:t xml:space="preserve">Naast de samenwerking binnen de Kiesgroep werkt Nederland </w:t>
      </w:r>
      <w:r w:rsidR="00D04E55">
        <w:rPr>
          <w:lang w:eastAsia="ar-SA"/>
        </w:rPr>
        <w:t xml:space="preserve">intensief </w:t>
      </w:r>
      <w:r w:rsidR="00FD6F0F">
        <w:rPr>
          <w:lang w:eastAsia="ar-SA"/>
        </w:rPr>
        <w:t xml:space="preserve">samen </w:t>
      </w:r>
      <w:r w:rsidR="00635B76">
        <w:rPr>
          <w:lang w:eastAsia="ar-SA"/>
        </w:rPr>
        <w:t>in</w:t>
      </w:r>
      <w:r w:rsidR="00AC2997">
        <w:rPr>
          <w:lang w:eastAsia="ar-SA"/>
        </w:rPr>
        <w:t xml:space="preserve"> EU+ verband. Dit zijn de </w:t>
      </w:r>
      <w:r>
        <w:rPr>
          <w:lang w:eastAsia="ar-SA"/>
        </w:rPr>
        <w:t>Europese lidstaten</w:t>
      </w:r>
      <w:r w:rsidR="00AC2997">
        <w:rPr>
          <w:lang w:eastAsia="ar-SA"/>
        </w:rPr>
        <w:t xml:space="preserve"> </w:t>
      </w:r>
      <w:r w:rsidR="008927D3">
        <w:rPr>
          <w:lang w:eastAsia="ar-SA"/>
        </w:rPr>
        <w:t xml:space="preserve">van </w:t>
      </w:r>
      <w:r w:rsidR="00AC2997">
        <w:rPr>
          <w:lang w:eastAsia="ar-SA"/>
        </w:rPr>
        <w:t>de Bank</w:t>
      </w:r>
      <w:r w:rsidR="00635B76">
        <w:rPr>
          <w:lang w:eastAsia="ar-SA"/>
        </w:rPr>
        <w:t xml:space="preserve"> plus Canada, Turkije en Z</w:t>
      </w:r>
      <w:r w:rsidR="00AC2997">
        <w:rPr>
          <w:lang w:eastAsia="ar-SA"/>
        </w:rPr>
        <w:t>witserland. Deze groep heeft</w:t>
      </w:r>
      <w:r w:rsidR="008927D3">
        <w:rPr>
          <w:lang w:eastAsia="ar-SA"/>
        </w:rPr>
        <w:t xml:space="preserve"> ruim een vijfde</w:t>
      </w:r>
      <w:r w:rsidR="00AC2997">
        <w:rPr>
          <w:lang w:eastAsia="ar-SA"/>
        </w:rPr>
        <w:t xml:space="preserve"> </w:t>
      </w:r>
      <w:r w:rsidR="008927D3">
        <w:rPr>
          <w:lang w:eastAsia="ar-SA"/>
        </w:rPr>
        <w:t>(</w:t>
      </w:r>
      <w:r w:rsidR="00AC2997">
        <w:rPr>
          <w:lang w:eastAsia="ar-SA"/>
        </w:rPr>
        <w:t>22,01</w:t>
      </w:r>
      <w:r w:rsidR="00635B76">
        <w:rPr>
          <w:lang w:eastAsia="ar-SA"/>
        </w:rPr>
        <w:t>%</w:t>
      </w:r>
      <w:r w:rsidR="008927D3">
        <w:rPr>
          <w:lang w:eastAsia="ar-SA"/>
        </w:rPr>
        <w:t>)</w:t>
      </w:r>
      <w:r w:rsidR="00635B76">
        <w:rPr>
          <w:lang w:eastAsia="ar-SA"/>
        </w:rPr>
        <w:t xml:space="preserve"> van het </w:t>
      </w:r>
      <w:r w:rsidR="008927D3">
        <w:rPr>
          <w:lang w:eastAsia="ar-SA"/>
        </w:rPr>
        <w:t>totale stemrecht</w:t>
      </w:r>
      <w:r w:rsidR="00635B76">
        <w:rPr>
          <w:lang w:eastAsia="ar-SA"/>
        </w:rPr>
        <w:t>.</w:t>
      </w:r>
    </w:p>
    <w:p w14:paraId="05B6AB70" w14:textId="77777777" w:rsidR="00514A54" w:rsidRDefault="00514A54" w:rsidP="008D16FD">
      <w:pPr>
        <w:suppressAutoHyphens/>
        <w:rPr>
          <w:lang w:eastAsia="ar-SA"/>
        </w:rPr>
      </w:pPr>
    </w:p>
    <w:p w14:paraId="6B3A88A6" w14:textId="77777777" w:rsidR="00D745A7" w:rsidRDefault="003A61BE" w:rsidP="00F24A31">
      <w:pPr>
        <w:pStyle w:val="Heading2"/>
        <w:tabs>
          <w:tab w:val="left" w:pos="-1162"/>
          <w:tab w:val="left" w:pos="0"/>
          <w:tab w:val="num" w:pos="1160"/>
        </w:tabs>
        <w:spacing w:line="240" w:lineRule="auto"/>
        <w:ind w:hanging="1162"/>
      </w:pPr>
      <w:bookmarkStart w:id="28" w:name="_Toc491437343"/>
      <w:r w:rsidRPr="003D0C47">
        <w:rPr>
          <w:lang w:val="nl-NL"/>
        </w:rPr>
        <w:t>3</w:t>
      </w:r>
      <w:r w:rsidR="00F24A31">
        <w:t>.4</w:t>
      </w:r>
      <w:r w:rsidR="00F24A31">
        <w:tab/>
      </w:r>
      <w:r w:rsidR="00D745A7">
        <w:t>Financiële omvang en bijdragen</w:t>
      </w:r>
      <w:bookmarkEnd w:id="28"/>
    </w:p>
    <w:p w14:paraId="6B3A88A7" w14:textId="39CAC461" w:rsidR="007258D4" w:rsidRDefault="00841B4E" w:rsidP="00F83E14">
      <w:r>
        <w:t>Het totale kapitaal van de AsDB is USD 147 miljard, waarvan USD 140 miljard garantiekapitaal en USD 7</w:t>
      </w:r>
      <w:r w:rsidR="00B70FA5">
        <w:t>,3</w:t>
      </w:r>
      <w:r w:rsidR="00BC54BD">
        <w:t xml:space="preserve"> miljard in</w:t>
      </w:r>
      <w:r>
        <w:t xml:space="preserve">betaald. </w:t>
      </w:r>
      <w:r w:rsidR="003425E3">
        <w:t>In 201</w:t>
      </w:r>
      <w:r w:rsidR="00D04E55">
        <w:t>6</w:t>
      </w:r>
      <w:r w:rsidR="003425E3">
        <w:t xml:space="preserve"> </w:t>
      </w:r>
      <w:r w:rsidR="005E5649">
        <w:t xml:space="preserve">was de totale omvang van </w:t>
      </w:r>
      <w:r w:rsidR="00F83E14">
        <w:lastRenderedPageBreak/>
        <w:t>AsDB</w:t>
      </w:r>
      <w:r w:rsidR="003425E3">
        <w:t xml:space="preserve">’s </w:t>
      </w:r>
      <w:r w:rsidR="003425E3">
        <w:rPr>
          <w:i/>
        </w:rPr>
        <w:t>operations</w:t>
      </w:r>
      <w:r w:rsidR="003425E3">
        <w:t xml:space="preserve"> USD </w:t>
      </w:r>
      <w:r w:rsidR="00D04E55">
        <w:t>31,7</w:t>
      </w:r>
      <w:r w:rsidR="003425E3">
        <w:t xml:space="preserve"> miljard. Dit is </w:t>
      </w:r>
      <w:r w:rsidR="00FD6F0F">
        <w:t xml:space="preserve">de </w:t>
      </w:r>
      <w:r w:rsidR="003425E3">
        <w:t xml:space="preserve">hoogste omvang ooit in de geschiedenis van de Bank. </w:t>
      </w:r>
      <w:r w:rsidR="005E5649">
        <w:t xml:space="preserve">Van dit bedrag kwam USD </w:t>
      </w:r>
      <w:r w:rsidR="009769D4">
        <w:t>1</w:t>
      </w:r>
      <w:r w:rsidR="00D04E55">
        <w:t>7</w:t>
      </w:r>
      <w:r w:rsidR="00B70FA5">
        <w:t>,5</w:t>
      </w:r>
      <w:r w:rsidR="00F83E14">
        <w:t xml:space="preserve"> </w:t>
      </w:r>
      <w:r w:rsidR="003D079C">
        <w:t xml:space="preserve">miljard </w:t>
      </w:r>
      <w:r w:rsidR="005E5649">
        <w:t>van de Bank</w:t>
      </w:r>
      <w:r w:rsidR="009769D4">
        <w:t xml:space="preserve"> zelf (OCR, ADF en speciale fondsen)</w:t>
      </w:r>
      <w:r w:rsidR="005E5649">
        <w:t>, en bestond USD</w:t>
      </w:r>
      <w:r w:rsidR="009769D4">
        <w:t xml:space="preserve"> 1</w:t>
      </w:r>
      <w:r w:rsidR="00D04E55">
        <w:t>4</w:t>
      </w:r>
      <w:r w:rsidR="003D079C">
        <w:t xml:space="preserve"> miljard</w:t>
      </w:r>
      <w:r w:rsidR="005E5649">
        <w:t xml:space="preserve"> uit </w:t>
      </w:r>
      <w:r w:rsidR="00C2109C">
        <w:t>cofinanciering</w:t>
      </w:r>
      <w:r w:rsidR="007258D4">
        <w:t>, wat de grote hefboomwerking van de Bank demonstreert.</w:t>
      </w:r>
    </w:p>
    <w:p w14:paraId="6B3A88A8" w14:textId="77777777" w:rsidR="007258D4" w:rsidRDefault="007258D4" w:rsidP="00F83E14"/>
    <w:p w14:paraId="6B3A88A9" w14:textId="77777777" w:rsidR="00F83E14" w:rsidRPr="009D2539" w:rsidRDefault="003D079C" w:rsidP="00F83E14">
      <w:r>
        <w:rPr>
          <w:i/>
        </w:rPr>
        <w:t>P</w:t>
      </w:r>
      <w:r w:rsidRPr="009947F1">
        <w:rPr>
          <w:i/>
        </w:rPr>
        <w:t>ublic sector operations</w:t>
      </w:r>
      <w:r>
        <w:t>, exclusief officiële cofinanciering en technische assistentie, bedroegen in 2</w:t>
      </w:r>
      <w:r w:rsidR="000F2EB8">
        <w:t>016</w:t>
      </w:r>
      <w:r>
        <w:t xml:space="preserve"> in totaal USD 1</w:t>
      </w:r>
      <w:r w:rsidR="000F2EB8">
        <w:t>5</w:t>
      </w:r>
      <w:r>
        <w:t xml:space="preserve"> miljard. </w:t>
      </w:r>
      <w:r>
        <w:rPr>
          <w:i/>
        </w:rPr>
        <w:t>Private sector operations</w:t>
      </w:r>
      <w:r>
        <w:t xml:space="preserve">, exclusief cofinanciering, bedroegen in totaal </w:t>
      </w:r>
      <w:r w:rsidR="000F2EB8">
        <w:t>USD 2,5 miljard</w:t>
      </w:r>
      <w:r>
        <w:t xml:space="preserve">. </w:t>
      </w:r>
      <w:r w:rsidR="009D2539">
        <w:t xml:space="preserve">Er is </w:t>
      </w:r>
      <w:r w:rsidR="00C02AF8">
        <w:t>een stijgende lijn in de activiteiten van de Bank</w:t>
      </w:r>
      <w:r w:rsidR="009D2539">
        <w:t>, met een gemidd</w:t>
      </w:r>
      <w:r w:rsidR="00B70FA5">
        <w:t>elde totale omvang van USD 21,3</w:t>
      </w:r>
      <w:r w:rsidR="009D2539">
        <w:t xml:space="preserve"> </w:t>
      </w:r>
      <w:r>
        <w:t xml:space="preserve">miljard </w:t>
      </w:r>
      <w:r w:rsidR="009D2539">
        <w:t xml:space="preserve">over de periode 2011 -2015. </w:t>
      </w:r>
    </w:p>
    <w:p w14:paraId="6B3A88AA" w14:textId="77777777" w:rsidR="00F83E14" w:rsidRDefault="00F83E14" w:rsidP="00F83E14"/>
    <w:p w14:paraId="6B3A88AB" w14:textId="77777777" w:rsidR="00F83E14" w:rsidRDefault="00F83E14" w:rsidP="00F83E14">
      <w:pPr>
        <w:suppressAutoHyphens/>
        <w:rPr>
          <w:lang w:eastAsia="ar-SA"/>
        </w:rPr>
      </w:pPr>
      <w:r>
        <w:rPr>
          <w:lang w:eastAsia="ar-SA"/>
        </w:rPr>
        <w:t xml:space="preserve">De onderhandelingen over de </w:t>
      </w:r>
      <w:r w:rsidR="0082382A">
        <w:rPr>
          <w:lang w:eastAsia="ar-SA"/>
        </w:rPr>
        <w:t>Elfde</w:t>
      </w:r>
      <w:r>
        <w:rPr>
          <w:lang w:eastAsia="ar-SA"/>
        </w:rPr>
        <w:t xml:space="preserve"> Middelenaanvulling van het ADF (ADF-</w:t>
      </w:r>
      <w:r w:rsidR="0082382A">
        <w:rPr>
          <w:lang w:eastAsia="ar-SA"/>
        </w:rPr>
        <w:t>12</w:t>
      </w:r>
      <w:r w:rsidR="00594B8C">
        <w:rPr>
          <w:lang w:eastAsia="ar-SA"/>
        </w:rPr>
        <w:t xml:space="preserve">) </w:t>
      </w:r>
      <w:r w:rsidR="00A74723">
        <w:rPr>
          <w:lang w:eastAsia="ar-SA"/>
        </w:rPr>
        <w:t xml:space="preserve">voor de periode 2017 – 2020 </w:t>
      </w:r>
      <w:r w:rsidR="00594B8C">
        <w:rPr>
          <w:lang w:eastAsia="ar-SA"/>
        </w:rPr>
        <w:t>werden afgerond in 2016</w:t>
      </w:r>
      <w:r w:rsidR="00A74723">
        <w:rPr>
          <w:lang w:eastAsia="ar-SA"/>
        </w:rPr>
        <w:t xml:space="preserve">. De </w:t>
      </w:r>
      <w:r>
        <w:rPr>
          <w:lang w:eastAsia="ar-SA"/>
        </w:rPr>
        <w:t>nieuwe donorbijdragen</w:t>
      </w:r>
      <w:r w:rsidR="00A74723">
        <w:rPr>
          <w:lang w:eastAsia="ar-SA"/>
        </w:rPr>
        <w:t xml:space="preserve"> bedroegen</w:t>
      </w:r>
      <w:r>
        <w:rPr>
          <w:lang w:eastAsia="ar-SA"/>
        </w:rPr>
        <w:t xml:space="preserve"> </w:t>
      </w:r>
      <w:r w:rsidR="00E72C65">
        <w:rPr>
          <w:lang w:eastAsia="ar-SA"/>
        </w:rPr>
        <w:t>3,8</w:t>
      </w:r>
      <w:r w:rsidR="004B3E25">
        <w:rPr>
          <w:lang w:eastAsia="ar-SA"/>
        </w:rPr>
        <w:t xml:space="preserve"> milj</w:t>
      </w:r>
      <w:r w:rsidR="00FD584C">
        <w:rPr>
          <w:lang w:eastAsia="ar-SA"/>
        </w:rPr>
        <w:t>ard USD – bijna een halvering</w:t>
      </w:r>
      <w:r w:rsidR="004B3E25">
        <w:rPr>
          <w:lang w:eastAsia="ar-SA"/>
        </w:rPr>
        <w:t xml:space="preserve"> ten opzicht</w:t>
      </w:r>
      <w:r w:rsidR="008D6EFF">
        <w:rPr>
          <w:lang w:eastAsia="ar-SA"/>
        </w:rPr>
        <w:t>e</w:t>
      </w:r>
      <w:r w:rsidR="004B3E25">
        <w:rPr>
          <w:lang w:eastAsia="ar-SA"/>
        </w:rPr>
        <w:t xml:space="preserve"> van </w:t>
      </w:r>
      <w:r w:rsidR="004E125D">
        <w:rPr>
          <w:lang w:eastAsia="ar-SA"/>
        </w:rPr>
        <w:t xml:space="preserve">de </w:t>
      </w:r>
      <w:r w:rsidR="004B3E25">
        <w:rPr>
          <w:lang w:eastAsia="ar-SA"/>
        </w:rPr>
        <w:t>middelenaanvulling van het ADF-11. Van dit bedrag</w:t>
      </w:r>
      <w:r>
        <w:rPr>
          <w:lang w:eastAsia="ar-SA"/>
        </w:rPr>
        <w:t xml:space="preserve"> </w:t>
      </w:r>
      <w:r w:rsidR="004B3E25">
        <w:rPr>
          <w:lang w:eastAsia="ar-SA"/>
        </w:rPr>
        <w:t xml:space="preserve">is </w:t>
      </w:r>
      <w:r w:rsidR="00A74723">
        <w:rPr>
          <w:lang w:eastAsia="ar-SA"/>
        </w:rPr>
        <w:t>USD</w:t>
      </w:r>
      <w:r w:rsidR="00B44055">
        <w:rPr>
          <w:lang w:eastAsia="ar-SA"/>
        </w:rPr>
        <w:t xml:space="preserve"> 3,3 miljard voor het ADF zelf </w:t>
      </w:r>
      <w:r w:rsidR="00A74723">
        <w:rPr>
          <w:lang w:eastAsia="ar-SA"/>
        </w:rPr>
        <w:t xml:space="preserve">en USD 0,5 </w:t>
      </w:r>
      <w:r w:rsidR="00B44055">
        <w:rPr>
          <w:lang w:eastAsia="ar-SA"/>
        </w:rPr>
        <w:t xml:space="preserve">miljard </w:t>
      </w:r>
      <w:r w:rsidR="00A74723">
        <w:rPr>
          <w:lang w:eastAsia="ar-SA"/>
        </w:rPr>
        <w:t xml:space="preserve">voor het </w:t>
      </w:r>
      <w:r w:rsidR="00A74723">
        <w:rPr>
          <w:i/>
          <w:lang w:eastAsia="ar-SA"/>
        </w:rPr>
        <w:t xml:space="preserve">Technical Assistance Special Fund. </w:t>
      </w:r>
      <w:r w:rsidR="00A74723">
        <w:rPr>
          <w:lang w:eastAsia="ar-SA"/>
        </w:rPr>
        <w:t xml:space="preserve">Nederland droeg </w:t>
      </w:r>
      <w:r w:rsidR="00594B8C">
        <w:rPr>
          <w:lang w:eastAsia="ar-SA"/>
        </w:rPr>
        <w:t xml:space="preserve">15 </w:t>
      </w:r>
      <w:r>
        <w:rPr>
          <w:lang w:eastAsia="ar-SA"/>
        </w:rPr>
        <w:t>miljoen EUR bij.</w:t>
      </w:r>
      <w:r w:rsidR="00594B8C">
        <w:rPr>
          <w:lang w:eastAsia="ar-SA"/>
        </w:rPr>
        <w:t xml:space="preserve"> </w:t>
      </w:r>
      <w:r w:rsidR="008D6EFF">
        <w:rPr>
          <w:lang w:eastAsia="ar-SA"/>
        </w:rPr>
        <w:t>De ADF-12</w:t>
      </w:r>
      <w:r w:rsidR="00A74723">
        <w:rPr>
          <w:lang w:eastAsia="ar-SA"/>
        </w:rPr>
        <w:t xml:space="preserve"> middelenaanvulling is de eerste </w:t>
      </w:r>
      <w:r w:rsidR="002D43C7">
        <w:rPr>
          <w:lang w:eastAsia="ar-SA"/>
        </w:rPr>
        <w:t>na de aankondiging dat per 1 januari 2017 ook concessionele middelen uit de OCR k</w:t>
      </w:r>
      <w:r w:rsidR="004B3E25">
        <w:rPr>
          <w:lang w:eastAsia="ar-SA"/>
        </w:rPr>
        <w:t xml:space="preserve">omen </w:t>
      </w:r>
      <w:r w:rsidR="002D43C7">
        <w:rPr>
          <w:lang w:eastAsia="ar-SA"/>
        </w:rPr>
        <w:t xml:space="preserve">en dat het ADF uitsluitend voor schenkingen gebruikt wordt vanaf die datum. </w:t>
      </w:r>
    </w:p>
    <w:p w14:paraId="6B3A88AC" w14:textId="77777777" w:rsidR="00F83E14" w:rsidRDefault="00F83E14" w:rsidP="00F83E14">
      <w:pPr>
        <w:suppressAutoHyphens/>
        <w:rPr>
          <w:lang w:eastAsia="ar-SA"/>
        </w:rPr>
      </w:pPr>
    </w:p>
    <w:p w14:paraId="6B3A88AD" w14:textId="77777777" w:rsidR="00CB156F" w:rsidRPr="005150FC" w:rsidRDefault="003A12C1" w:rsidP="008D16FD">
      <w:r>
        <w:rPr>
          <w:lang w:eastAsia="ar-SA"/>
        </w:rPr>
        <w:t>Nederland heeft 1,03% van de aandelen van de Bank en is daarmee de</w:t>
      </w:r>
      <w:r w:rsidR="00F83E14" w:rsidRPr="002237A9">
        <w:rPr>
          <w:lang w:eastAsia="ar-SA"/>
        </w:rPr>
        <w:t xml:space="preserve"> </w:t>
      </w:r>
      <w:r w:rsidR="00F83E14">
        <w:rPr>
          <w:lang w:eastAsia="ar-SA"/>
        </w:rPr>
        <w:t>19</w:t>
      </w:r>
      <w:r w:rsidR="00F83E14" w:rsidRPr="002237A9">
        <w:rPr>
          <w:vertAlign w:val="superscript"/>
          <w:lang w:eastAsia="ar-SA"/>
        </w:rPr>
        <w:t>e</w:t>
      </w:r>
      <w:r w:rsidR="00F83E14" w:rsidRPr="002237A9">
        <w:rPr>
          <w:lang w:eastAsia="ar-SA"/>
        </w:rPr>
        <w:t xml:space="preserve"> a</w:t>
      </w:r>
      <w:r>
        <w:rPr>
          <w:lang w:eastAsia="ar-SA"/>
        </w:rPr>
        <w:t xml:space="preserve">andeelhouder. Nederland heeft </w:t>
      </w:r>
      <w:r w:rsidR="00F83E14">
        <w:rPr>
          <w:lang w:eastAsia="ar-SA"/>
        </w:rPr>
        <w:t>1,12</w:t>
      </w:r>
      <w:r w:rsidR="00F83E14" w:rsidRPr="002237A9">
        <w:rPr>
          <w:lang w:eastAsia="ar-SA"/>
        </w:rPr>
        <w:t>% van de stemmen</w:t>
      </w:r>
      <w:r w:rsidR="00F83E14">
        <w:rPr>
          <w:lang w:eastAsia="ar-SA"/>
        </w:rPr>
        <w:t xml:space="preserve"> (</w:t>
      </w:r>
      <w:r w:rsidR="00F83E14">
        <w:rPr>
          <w:i/>
          <w:lang w:eastAsia="ar-SA"/>
        </w:rPr>
        <w:t>voting power)</w:t>
      </w:r>
      <w:r w:rsidR="00F83E14" w:rsidRPr="002237A9">
        <w:rPr>
          <w:lang w:eastAsia="ar-SA"/>
        </w:rPr>
        <w:t>.</w:t>
      </w:r>
      <w:r w:rsidR="00F83E14">
        <w:rPr>
          <w:lang w:eastAsia="ar-SA"/>
        </w:rPr>
        <w:t xml:space="preserve"> </w:t>
      </w:r>
      <w:r w:rsidR="00F83E14" w:rsidRPr="002237A9">
        <w:rPr>
          <w:lang w:eastAsia="ar-SA"/>
        </w:rPr>
        <w:t>De grootste aandeelhouder</w:t>
      </w:r>
      <w:r w:rsidR="00F83E14">
        <w:rPr>
          <w:lang w:eastAsia="ar-SA"/>
        </w:rPr>
        <w:t>s zijn</w:t>
      </w:r>
      <w:r w:rsidR="008D6EFF">
        <w:rPr>
          <w:lang w:eastAsia="ar-SA"/>
        </w:rPr>
        <w:t xml:space="preserve"> Japan en de VS (met resp. 12,80 en 12,71</w:t>
      </w:r>
      <w:r w:rsidR="00F83E14">
        <w:rPr>
          <w:lang w:eastAsia="ar-SA"/>
        </w:rPr>
        <w:t xml:space="preserve"> % van de stemrechten),</w:t>
      </w:r>
      <w:r w:rsidR="00F83E14" w:rsidRPr="002237A9">
        <w:rPr>
          <w:lang w:eastAsia="ar-SA"/>
        </w:rPr>
        <w:t xml:space="preserve"> gevolgd door China (</w:t>
      </w:r>
      <w:r w:rsidR="008D6EFF">
        <w:rPr>
          <w:lang w:eastAsia="ar-SA"/>
        </w:rPr>
        <w:t>5,46</w:t>
      </w:r>
      <w:r w:rsidR="00F83E14" w:rsidRPr="002237A9">
        <w:rPr>
          <w:lang w:eastAsia="ar-SA"/>
        </w:rPr>
        <w:t>%), India (</w:t>
      </w:r>
      <w:r w:rsidR="00F83E14">
        <w:rPr>
          <w:lang w:eastAsia="ar-SA"/>
        </w:rPr>
        <w:t>5,38</w:t>
      </w:r>
      <w:r w:rsidR="00F83E14" w:rsidRPr="002237A9">
        <w:rPr>
          <w:lang w:eastAsia="ar-SA"/>
        </w:rPr>
        <w:t>%)</w:t>
      </w:r>
      <w:r w:rsidR="00F83E14">
        <w:rPr>
          <w:lang w:eastAsia="ar-SA"/>
        </w:rPr>
        <w:t xml:space="preserve"> en </w:t>
      </w:r>
      <w:r w:rsidR="00F83E14" w:rsidRPr="002237A9">
        <w:rPr>
          <w:lang w:eastAsia="ar-SA"/>
        </w:rPr>
        <w:t>Australië (</w:t>
      </w:r>
      <w:r w:rsidR="008D6EFF">
        <w:rPr>
          <w:lang w:eastAsia="ar-SA"/>
        </w:rPr>
        <w:t>4,93</w:t>
      </w:r>
      <w:r w:rsidR="00F83E14" w:rsidRPr="002237A9">
        <w:rPr>
          <w:lang w:eastAsia="ar-SA"/>
        </w:rPr>
        <w:t>%)</w:t>
      </w:r>
      <w:r w:rsidR="00F83E14">
        <w:rPr>
          <w:lang w:eastAsia="ar-SA"/>
        </w:rPr>
        <w:t>.</w:t>
      </w:r>
    </w:p>
    <w:p w14:paraId="6B3A88AE" w14:textId="77777777" w:rsidR="00CB156F" w:rsidRPr="004D372F" w:rsidRDefault="00CB156F" w:rsidP="00BE458E"/>
    <w:p w14:paraId="6B3A88AF" w14:textId="3FECF17F" w:rsidR="00DA298C" w:rsidRDefault="00761D0B" w:rsidP="00D13B8F">
      <w:r>
        <w:t>Financieel o</w:t>
      </w:r>
      <w:r w:rsidR="00BE458E">
        <w:t xml:space="preserve">verzicht </w:t>
      </w:r>
      <w:r>
        <w:t>(</w:t>
      </w:r>
      <w:r w:rsidRPr="00050E7F">
        <w:rPr>
          <w:i/>
        </w:rPr>
        <w:t>Bedragen in miljoen</w:t>
      </w:r>
      <w:r w:rsidR="00CC6671" w:rsidRPr="00CC6671">
        <w:rPr>
          <w:i/>
        </w:rPr>
        <w:t xml:space="preserve"> </w:t>
      </w:r>
      <w:r w:rsidR="00CC6671" w:rsidRPr="00050E7F">
        <w:rPr>
          <w:i/>
        </w:rPr>
        <w:t>USD</w:t>
      </w:r>
      <w:r>
        <w:t>)</w:t>
      </w:r>
    </w:p>
    <w:p w14:paraId="7FF95965" w14:textId="77777777" w:rsidR="003D1046" w:rsidRPr="00761D0B" w:rsidRDefault="003D1046" w:rsidP="00D13B8F"/>
    <w:tbl>
      <w:tblPr>
        <w:tblW w:w="762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794"/>
        <w:gridCol w:w="1913"/>
        <w:gridCol w:w="1914"/>
      </w:tblGrid>
      <w:tr w:rsidR="00E12B7F" w:rsidRPr="0069317D" w14:paraId="6B3A88B3" w14:textId="77777777" w:rsidTr="003D1046">
        <w:tc>
          <w:tcPr>
            <w:tcW w:w="3794" w:type="dxa"/>
            <w:tcBorders>
              <w:top w:val="single" w:sz="12" w:space="0" w:color="auto"/>
              <w:bottom w:val="single" w:sz="12" w:space="0" w:color="auto"/>
            </w:tcBorders>
            <w:shd w:val="clear" w:color="auto" w:fill="BFBFBF" w:themeFill="background1" w:themeFillShade="BF"/>
          </w:tcPr>
          <w:p w14:paraId="6B3A88B0" w14:textId="77777777" w:rsidR="00E12B7F" w:rsidRPr="0069317D" w:rsidRDefault="00E12B7F" w:rsidP="00B95FC2"/>
        </w:tc>
        <w:tc>
          <w:tcPr>
            <w:tcW w:w="1913" w:type="dxa"/>
            <w:tcBorders>
              <w:top w:val="single" w:sz="12" w:space="0" w:color="auto"/>
              <w:bottom w:val="single" w:sz="12" w:space="0" w:color="auto"/>
            </w:tcBorders>
            <w:shd w:val="clear" w:color="auto" w:fill="BFBFBF" w:themeFill="background1" w:themeFillShade="BF"/>
          </w:tcPr>
          <w:p w14:paraId="6B3A88B1" w14:textId="77777777" w:rsidR="00E12B7F" w:rsidRPr="0069317D" w:rsidRDefault="00BC7D8C" w:rsidP="00B95FC2">
            <w:r w:rsidRPr="0069317D">
              <w:t>Bank</w:t>
            </w:r>
          </w:p>
        </w:tc>
        <w:tc>
          <w:tcPr>
            <w:tcW w:w="1914" w:type="dxa"/>
            <w:tcBorders>
              <w:top w:val="single" w:sz="12" w:space="0" w:color="auto"/>
              <w:bottom w:val="single" w:sz="12" w:space="0" w:color="auto"/>
            </w:tcBorders>
            <w:shd w:val="clear" w:color="auto" w:fill="BFBFBF" w:themeFill="background1" w:themeFillShade="BF"/>
          </w:tcPr>
          <w:p w14:paraId="6B3A88B2" w14:textId="77777777" w:rsidR="00E12B7F" w:rsidRPr="0069317D" w:rsidRDefault="00BC7D8C" w:rsidP="00B95FC2">
            <w:r w:rsidRPr="0069317D">
              <w:t>Fonds</w:t>
            </w:r>
            <w:r w:rsidR="005D1E27">
              <w:t xml:space="preserve"> / zachte leningen loket</w:t>
            </w:r>
          </w:p>
        </w:tc>
      </w:tr>
      <w:tr w:rsidR="00E12B7F" w:rsidRPr="0069317D" w14:paraId="6B3A88B7" w14:textId="77777777" w:rsidTr="003D1046">
        <w:tc>
          <w:tcPr>
            <w:tcW w:w="3794" w:type="dxa"/>
            <w:tcBorders>
              <w:top w:val="single" w:sz="12" w:space="0" w:color="auto"/>
            </w:tcBorders>
            <w:shd w:val="clear" w:color="auto" w:fill="auto"/>
          </w:tcPr>
          <w:p w14:paraId="6B3A88B4" w14:textId="77777777" w:rsidR="00E12B7F" w:rsidRPr="0069317D" w:rsidRDefault="00E12B7F" w:rsidP="00BC7D8C">
            <w:r w:rsidRPr="0069317D">
              <w:rPr>
                <w:szCs w:val="18"/>
                <w:lang w:eastAsia="zh-CN"/>
              </w:rPr>
              <w:t>Verstrekte schenkingen in 20</w:t>
            </w:r>
            <w:r w:rsidR="005F23DB">
              <w:rPr>
                <w:szCs w:val="18"/>
                <w:lang w:eastAsia="zh-CN"/>
              </w:rPr>
              <w:t>1</w:t>
            </w:r>
            <w:r w:rsidR="009B23D3">
              <w:rPr>
                <w:szCs w:val="18"/>
                <w:lang w:eastAsia="zh-CN"/>
              </w:rPr>
              <w:t>6</w:t>
            </w:r>
          </w:p>
        </w:tc>
        <w:tc>
          <w:tcPr>
            <w:tcW w:w="1913" w:type="dxa"/>
            <w:tcBorders>
              <w:top w:val="single" w:sz="12" w:space="0" w:color="auto"/>
            </w:tcBorders>
            <w:shd w:val="clear" w:color="auto" w:fill="auto"/>
          </w:tcPr>
          <w:p w14:paraId="6B3A88B5" w14:textId="77777777" w:rsidR="00E12B7F" w:rsidRPr="0069317D" w:rsidRDefault="00F237DC" w:rsidP="00B95FC2">
            <w:r>
              <w:t>-</w:t>
            </w:r>
          </w:p>
        </w:tc>
        <w:tc>
          <w:tcPr>
            <w:tcW w:w="1914" w:type="dxa"/>
            <w:tcBorders>
              <w:top w:val="single" w:sz="12" w:space="0" w:color="auto"/>
            </w:tcBorders>
            <w:shd w:val="clear" w:color="auto" w:fill="auto"/>
          </w:tcPr>
          <w:p w14:paraId="6B3A88B6" w14:textId="77777777" w:rsidR="00E12B7F" w:rsidRPr="0069317D" w:rsidRDefault="00A045AE" w:rsidP="00B95FC2">
            <w:r>
              <w:t>518</w:t>
            </w:r>
          </w:p>
        </w:tc>
      </w:tr>
      <w:tr w:rsidR="00E12B7F" w:rsidRPr="0069317D" w14:paraId="6B3A88BB" w14:textId="77777777" w:rsidTr="003D1046">
        <w:tc>
          <w:tcPr>
            <w:tcW w:w="3794" w:type="dxa"/>
            <w:shd w:val="clear" w:color="auto" w:fill="auto"/>
          </w:tcPr>
          <w:p w14:paraId="6B3A88B8" w14:textId="77777777" w:rsidR="00E12B7F" w:rsidRPr="0069317D" w:rsidRDefault="00E12B7F" w:rsidP="00B95FC2">
            <w:r w:rsidRPr="0069317D">
              <w:rPr>
                <w:szCs w:val="18"/>
                <w:lang w:eastAsia="zh-CN"/>
              </w:rPr>
              <w:t>Bijdrage aan schuldverlichting (HIPC)</w:t>
            </w:r>
          </w:p>
        </w:tc>
        <w:tc>
          <w:tcPr>
            <w:tcW w:w="1913" w:type="dxa"/>
            <w:shd w:val="clear" w:color="auto" w:fill="auto"/>
          </w:tcPr>
          <w:p w14:paraId="6B3A88B9" w14:textId="77777777" w:rsidR="00E12B7F" w:rsidRPr="0069317D" w:rsidRDefault="002B5637" w:rsidP="00B95FC2">
            <w:r>
              <w:t>-</w:t>
            </w:r>
          </w:p>
        </w:tc>
        <w:tc>
          <w:tcPr>
            <w:tcW w:w="1914" w:type="dxa"/>
            <w:shd w:val="clear" w:color="auto" w:fill="auto"/>
          </w:tcPr>
          <w:p w14:paraId="6B3A88BA" w14:textId="77777777" w:rsidR="00E12B7F" w:rsidRPr="0069317D" w:rsidRDefault="00A045AE" w:rsidP="00B95FC2">
            <w:r>
              <w:t>6</w:t>
            </w:r>
          </w:p>
        </w:tc>
      </w:tr>
      <w:tr w:rsidR="00E12B7F" w:rsidRPr="0069317D" w14:paraId="6B3A88BF" w14:textId="77777777" w:rsidTr="003D1046">
        <w:tc>
          <w:tcPr>
            <w:tcW w:w="3794" w:type="dxa"/>
            <w:shd w:val="clear" w:color="auto" w:fill="auto"/>
          </w:tcPr>
          <w:p w14:paraId="6B3A88BC" w14:textId="77777777" w:rsidR="00E12B7F" w:rsidRPr="0069317D" w:rsidRDefault="00885418" w:rsidP="002068BD">
            <w:r>
              <w:rPr>
                <w:szCs w:val="18"/>
                <w:lang w:eastAsia="zh-CN"/>
              </w:rPr>
              <w:t>Uitgekeerde</w:t>
            </w:r>
            <w:r w:rsidR="00E12B7F" w:rsidRPr="0069317D">
              <w:rPr>
                <w:szCs w:val="18"/>
                <w:lang w:eastAsia="zh-CN"/>
              </w:rPr>
              <w:t xml:space="preserve"> leningen in 20</w:t>
            </w:r>
            <w:r w:rsidR="00EB6D1A" w:rsidRPr="0069317D">
              <w:rPr>
                <w:szCs w:val="18"/>
                <w:lang w:eastAsia="zh-CN"/>
              </w:rPr>
              <w:t>1</w:t>
            </w:r>
            <w:r w:rsidR="009A1736">
              <w:rPr>
                <w:szCs w:val="18"/>
                <w:lang w:eastAsia="zh-CN"/>
              </w:rPr>
              <w:t>6</w:t>
            </w:r>
          </w:p>
        </w:tc>
        <w:tc>
          <w:tcPr>
            <w:tcW w:w="1913" w:type="dxa"/>
            <w:shd w:val="clear" w:color="auto" w:fill="auto"/>
          </w:tcPr>
          <w:p w14:paraId="6B3A88BD" w14:textId="77777777" w:rsidR="00E12B7F" w:rsidRPr="00D860FC" w:rsidRDefault="00885418" w:rsidP="00B95FC2">
            <w:r>
              <w:t>9.763</w:t>
            </w:r>
          </w:p>
        </w:tc>
        <w:tc>
          <w:tcPr>
            <w:tcW w:w="1914" w:type="dxa"/>
            <w:shd w:val="clear" w:color="auto" w:fill="auto"/>
          </w:tcPr>
          <w:p w14:paraId="6B3A88BE" w14:textId="77777777" w:rsidR="00E12B7F" w:rsidRPr="0069317D" w:rsidRDefault="00404E60" w:rsidP="00B95FC2">
            <w:r>
              <w:t>2.027</w:t>
            </w:r>
          </w:p>
        </w:tc>
      </w:tr>
      <w:tr w:rsidR="00E12B7F" w:rsidRPr="0069317D" w14:paraId="6B3A88C5" w14:textId="77777777" w:rsidTr="003D1046">
        <w:tc>
          <w:tcPr>
            <w:tcW w:w="3794" w:type="dxa"/>
            <w:shd w:val="clear" w:color="auto" w:fill="auto"/>
          </w:tcPr>
          <w:p w14:paraId="6B3A88C0" w14:textId="77777777" w:rsidR="00E12B7F" w:rsidRDefault="00E12B7F" w:rsidP="00BC7D8C">
            <w:pPr>
              <w:rPr>
                <w:szCs w:val="18"/>
                <w:lang w:eastAsia="zh-CN"/>
              </w:rPr>
            </w:pPr>
            <w:r w:rsidRPr="0069317D">
              <w:rPr>
                <w:szCs w:val="18"/>
                <w:lang w:eastAsia="zh-CN"/>
              </w:rPr>
              <w:t xml:space="preserve">Totaal </w:t>
            </w:r>
            <w:r w:rsidR="003872F2">
              <w:rPr>
                <w:szCs w:val="18"/>
                <w:lang w:eastAsia="zh-CN"/>
              </w:rPr>
              <w:t>(aandelen)</w:t>
            </w:r>
            <w:r w:rsidRPr="0069317D">
              <w:rPr>
                <w:szCs w:val="18"/>
                <w:lang w:eastAsia="zh-CN"/>
              </w:rPr>
              <w:t xml:space="preserve">kapitaal </w:t>
            </w:r>
          </w:p>
          <w:p w14:paraId="6B3A88C1" w14:textId="77777777" w:rsidR="003872F2" w:rsidRPr="0069317D" w:rsidRDefault="003872F2" w:rsidP="00BC7D8C">
            <w:r>
              <w:rPr>
                <w:szCs w:val="18"/>
                <w:lang w:eastAsia="zh-CN"/>
              </w:rPr>
              <w:t xml:space="preserve">Waarvan </w:t>
            </w:r>
            <w:r w:rsidRPr="003872F2">
              <w:rPr>
                <w:i/>
                <w:szCs w:val="18"/>
                <w:lang w:eastAsia="zh-CN"/>
              </w:rPr>
              <w:t>paid-in</w:t>
            </w:r>
          </w:p>
        </w:tc>
        <w:tc>
          <w:tcPr>
            <w:tcW w:w="1913" w:type="dxa"/>
            <w:shd w:val="clear" w:color="auto" w:fill="auto"/>
          </w:tcPr>
          <w:p w14:paraId="6B3A88C2" w14:textId="77777777" w:rsidR="00E12B7F" w:rsidRDefault="00F237DC" w:rsidP="00B95FC2">
            <w:r>
              <w:t>147.052</w:t>
            </w:r>
          </w:p>
          <w:p w14:paraId="6B3A88C3" w14:textId="77777777" w:rsidR="003872F2" w:rsidRPr="0069317D" w:rsidRDefault="003872F2" w:rsidP="00B95FC2">
            <w:r>
              <w:t>7.300</w:t>
            </w:r>
          </w:p>
        </w:tc>
        <w:tc>
          <w:tcPr>
            <w:tcW w:w="1914" w:type="dxa"/>
            <w:shd w:val="clear" w:color="auto" w:fill="auto"/>
          </w:tcPr>
          <w:p w14:paraId="6B3A88C4" w14:textId="77777777" w:rsidR="00E12B7F" w:rsidRPr="002E3004" w:rsidRDefault="00703202" w:rsidP="002E3004">
            <w:r>
              <w:t>4.800</w:t>
            </w:r>
          </w:p>
        </w:tc>
      </w:tr>
      <w:tr w:rsidR="00FF3A5A" w:rsidRPr="0069317D" w14:paraId="6B3A88C9" w14:textId="77777777" w:rsidTr="003D1046">
        <w:tc>
          <w:tcPr>
            <w:tcW w:w="3794" w:type="dxa"/>
            <w:shd w:val="clear" w:color="auto" w:fill="auto"/>
          </w:tcPr>
          <w:p w14:paraId="6B3A88C6" w14:textId="77777777" w:rsidR="00FF3A5A" w:rsidRPr="0069317D" w:rsidRDefault="00FF3A5A" w:rsidP="00BC7D8C">
            <w:pPr>
              <w:rPr>
                <w:szCs w:val="18"/>
                <w:lang w:eastAsia="zh-CN"/>
              </w:rPr>
            </w:pPr>
            <w:r w:rsidRPr="0069317D">
              <w:rPr>
                <w:szCs w:val="18"/>
                <w:lang w:eastAsia="zh-CN"/>
              </w:rPr>
              <w:t>Nederlands aandeel</w:t>
            </w:r>
            <w:r w:rsidR="009B23D3">
              <w:rPr>
                <w:szCs w:val="18"/>
                <w:lang w:eastAsia="zh-CN"/>
              </w:rPr>
              <w:t xml:space="preserve"> in%</w:t>
            </w:r>
          </w:p>
        </w:tc>
        <w:tc>
          <w:tcPr>
            <w:tcW w:w="1913" w:type="dxa"/>
            <w:shd w:val="clear" w:color="auto" w:fill="auto"/>
          </w:tcPr>
          <w:p w14:paraId="6B3A88C7" w14:textId="77777777" w:rsidR="00FF3A5A" w:rsidRPr="0069317D" w:rsidRDefault="003A12C1" w:rsidP="00B95FC2">
            <w:r>
              <w:t>1,03</w:t>
            </w:r>
            <w:r w:rsidR="006C1AE3">
              <w:t>%</w:t>
            </w:r>
          </w:p>
        </w:tc>
        <w:tc>
          <w:tcPr>
            <w:tcW w:w="1914" w:type="dxa"/>
            <w:shd w:val="clear" w:color="auto" w:fill="auto"/>
          </w:tcPr>
          <w:p w14:paraId="6B3A88C8" w14:textId="77777777" w:rsidR="00FF3A5A" w:rsidRPr="002E3004" w:rsidRDefault="006C1AE3" w:rsidP="002E3004">
            <w:r>
              <w:t>0,53%</w:t>
            </w:r>
          </w:p>
        </w:tc>
      </w:tr>
      <w:tr w:rsidR="00E12B7F" w:rsidRPr="0069317D" w14:paraId="6B3A88CD" w14:textId="77777777" w:rsidTr="003D1046">
        <w:tc>
          <w:tcPr>
            <w:tcW w:w="3794" w:type="dxa"/>
            <w:shd w:val="clear" w:color="auto" w:fill="auto"/>
          </w:tcPr>
          <w:p w14:paraId="6B3A88CA" w14:textId="77777777" w:rsidR="00E12B7F" w:rsidRPr="0069317D" w:rsidRDefault="00E12B7F" w:rsidP="00B95FC2">
            <w:r w:rsidRPr="0069317D">
              <w:rPr>
                <w:szCs w:val="18"/>
                <w:lang w:eastAsia="zh-CN"/>
              </w:rPr>
              <w:t>Kiesgroep aandeel in %</w:t>
            </w:r>
          </w:p>
        </w:tc>
        <w:tc>
          <w:tcPr>
            <w:tcW w:w="1913" w:type="dxa"/>
            <w:shd w:val="clear" w:color="auto" w:fill="auto"/>
          </w:tcPr>
          <w:p w14:paraId="6B3A88CB" w14:textId="77777777" w:rsidR="00E12B7F" w:rsidRPr="0069317D" w:rsidRDefault="005D232B" w:rsidP="00B95FC2">
            <w:r>
              <w:t>7,97</w:t>
            </w:r>
            <w:r w:rsidR="006C1AE3">
              <w:t>%</w:t>
            </w:r>
          </w:p>
        </w:tc>
        <w:tc>
          <w:tcPr>
            <w:tcW w:w="1914" w:type="dxa"/>
            <w:shd w:val="clear" w:color="auto" w:fill="auto"/>
          </w:tcPr>
          <w:p w14:paraId="6B3A88CC" w14:textId="77777777" w:rsidR="00E12B7F" w:rsidRPr="002E3004" w:rsidRDefault="006C1AE3" w:rsidP="002E3004">
            <w:pPr>
              <w:rPr>
                <w:highlight w:val="green"/>
              </w:rPr>
            </w:pPr>
            <w:r w:rsidRPr="006C1AE3">
              <w:t>7,76%</w:t>
            </w:r>
          </w:p>
        </w:tc>
      </w:tr>
      <w:tr w:rsidR="009B23D3" w:rsidRPr="0069317D" w14:paraId="6B3A88D1" w14:textId="77777777" w:rsidTr="003D1046">
        <w:tc>
          <w:tcPr>
            <w:tcW w:w="3794" w:type="dxa"/>
            <w:shd w:val="clear" w:color="auto" w:fill="auto"/>
          </w:tcPr>
          <w:p w14:paraId="6B3A88CE" w14:textId="77777777" w:rsidR="009B23D3" w:rsidRPr="0069317D" w:rsidRDefault="005D1E27" w:rsidP="005D1E27">
            <w:pPr>
              <w:rPr>
                <w:szCs w:val="18"/>
                <w:lang w:eastAsia="zh-CN"/>
              </w:rPr>
            </w:pPr>
            <w:r>
              <w:rPr>
                <w:szCs w:val="18"/>
                <w:lang w:eastAsia="zh-CN"/>
              </w:rPr>
              <w:t xml:space="preserve">Overige </w:t>
            </w:r>
            <w:r w:rsidR="009B23D3">
              <w:rPr>
                <w:szCs w:val="18"/>
                <w:lang w:eastAsia="zh-CN"/>
              </w:rPr>
              <w:t xml:space="preserve">Nederlandse bijdragen </w:t>
            </w:r>
            <w:r>
              <w:rPr>
                <w:szCs w:val="18"/>
                <w:lang w:eastAsia="zh-CN"/>
              </w:rPr>
              <w:t>(TFs)</w:t>
            </w:r>
          </w:p>
        </w:tc>
        <w:tc>
          <w:tcPr>
            <w:tcW w:w="1913" w:type="dxa"/>
            <w:shd w:val="clear" w:color="auto" w:fill="auto"/>
          </w:tcPr>
          <w:p w14:paraId="6B3A88CF" w14:textId="77777777" w:rsidR="009B23D3" w:rsidRPr="0069317D" w:rsidRDefault="00A045AE" w:rsidP="00B95FC2">
            <w:r>
              <w:t>7</w:t>
            </w:r>
          </w:p>
        </w:tc>
        <w:tc>
          <w:tcPr>
            <w:tcW w:w="1914" w:type="dxa"/>
            <w:shd w:val="clear" w:color="auto" w:fill="auto"/>
          </w:tcPr>
          <w:p w14:paraId="6B3A88D0" w14:textId="77777777" w:rsidR="009B23D3" w:rsidRPr="0069317D" w:rsidRDefault="00FB43AC" w:rsidP="00B95FC2">
            <w:r>
              <w:t>-</w:t>
            </w:r>
          </w:p>
        </w:tc>
      </w:tr>
      <w:tr w:rsidR="00E12B7F" w:rsidRPr="0069317D" w14:paraId="6B3A88D5" w14:textId="77777777" w:rsidTr="003D1046">
        <w:tc>
          <w:tcPr>
            <w:tcW w:w="3794" w:type="dxa"/>
            <w:shd w:val="clear" w:color="auto" w:fill="auto"/>
          </w:tcPr>
          <w:p w14:paraId="6B3A88D2" w14:textId="77777777" w:rsidR="00E12B7F" w:rsidRPr="0069317D" w:rsidRDefault="00E12B7F" w:rsidP="00B95FC2">
            <w:r w:rsidRPr="0069317D">
              <w:rPr>
                <w:szCs w:val="18"/>
                <w:lang w:eastAsia="zh-CN"/>
              </w:rPr>
              <w:t>Positie N</w:t>
            </w:r>
            <w:r w:rsidR="000F03D7" w:rsidRPr="0069317D">
              <w:rPr>
                <w:szCs w:val="18"/>
                <w:lang w:eastAsia="zh-CN"/>
              </w:rPr>
              <w:t xml:space="preserve">ederland </w:t>
            </w:r>
            <w:r w:rsidRPr="0069317D">
              <w:rPr>
                <w:szCs w:val="18"/>
                <w:lang w:eastAsia="zh-CN"/>
              </w:rPr>
              <w:t>op ranglijst</w:t>
            </w:r>
          </w:p>
        </w:tc>
        <w:tc>
          <w:tcPr>
            <w:tcW w:w="1913" w:type="dxa"/>
            <w:shd w:val="clear" w:color="auto" w:fill="auto"/>
          </w:tcPr>
          <w:p w14:paraId="6B3A88D3" w14:textId="77777777" w:rsidR="00E12B7F" w:rsidRPr="0069317D" w:rsidRDefault="00F237DC" w:rsidP="00B95FC2">
            <w:r>
              <w:t>19</w:t>
            </w:r>
          </w:p>
        </w:tc>
        <w:tc>
          <w:tcPr>
            <w:tcW w:w="1914" w:type="dxa"/>
            <w:shd w:val="clear" w:color="auto" w:fill="auto"/>
          </w:tcPr>
          <w:p w14:paraId="6B3A88D4" w14:textId="77777777" w:rsidR="00E12B7F" w:rsidRPr="0069317D" w:rsidRDefault="006C6272" w:rsidP="00B95FC2">
            <w:r>
              <w:t>17</w:t>
            </w:r>
          </w:p>
        </w:tc>
      </w:tr>
      <w:tr w:rsidR="00E12B7F" w14:paraId="6B3A88D9" w14:textId="77777777" w:rsidTr="003D1046">
        <w:tc>
          <w:tcPr>
            <w:tcW w:w="3794" w:type="dxa"/>
            <w:shd w:val="clear" w:color="auto" w:fill="auto"/>
          </w:tcPr>
          <w:p w14:paraId="6B3A88D6" w14:textId="77777777" w:rsidR="00E12B7F" w:rsidRDefault="00F47A9A" w:rsidP="00B95FC2">
            <w:r>
              <w:rPr>
                <w:szCs w:val="18"/>
                <w:lang w:eastAsia="zh-CN"/>
              </w:rPr>
              <w:t xml:space="preserve">Aantal </w:t>
            </w:r>
            <w:r w:rsidR="00E12B7F" w:rsidRPr="0069317D">
              <w:rPr>
                <w:szCs w:val="18"/>
                <w:lang w:eastAsia="zh-CN"/>
              </w:rPr>
              <w:t>aandeelhouders / donoren</w:t>
            </w:r>
          </w:p>
        </w:tc>
        <w:tc>
          <w:tcPr>
            <w:tcW w:w="1913" w:type="dxa"/>
            <w:shd w:val="clear" w:color="auto" w:fill="auto"/>
          </w:tcPr>
          <w:p w14:paraId="6B3A88D7" w14:textId="77777777" w:rsidR="00E12B7F" w:rsidRDefault="00007F3E" w:rsidP="00B95FC2">
            <w:r>
              <w:t>67</w:t>
            </w:r>
          </w:p>
        </w:tc>
        <w:tc>
          <w:tcPr>
            <w:tcW w:w="1914" w:type="dxa"/>
            <w:shd w:val="clear" w:color="auto" w:fill="auto"/>
          </w:tcPr>
          <w:p w14:paraId="6B3A88D8" w14:textId="77777777" w:rsidR="00E12B7F" w:rsidRDefault="00F237DC" w:rsidP="00B95FC2">
            <w:r>
              <w:t>3</w:t>
            </w:r>
            <w:r w:rsidR="006C6272">
              <w:t>4</w:t>
            </w:r>
          </w:p>
        </w:tc>
      </w:tr>
    </w:tbl>
    <w:p w14:paraId="6B3A88DA" w14:textId="77777777" w:rsidR="00DA298C" w:rsidRDefault="00DA298C" w:rsidP="00B95FC2"/>
    <w:p w14:paraId="6B3A88DB" w14:textId="77777777" w:rsidR="005150FC" w:rsidRDefault="005150FC" w:rsidP="005150FC"/>
    <w:p w14:paraId="6B3A88DC" w14:textId="77777777" w:rsidR="005150FC" w:rsidRDefault="005150FC" w:rsidP="005150FC"/>
    <w:p w14:paraId="6B3A88DD" w14:textId="77777777" w:rsidR="005150FC" w:rsidRDefault="005150FC" w:rsidP="005150FC"/>
    <w:p w14:paraId="6B3A88DE" w14:textId="77777777" w:rsidR="00E57CC8" w:rsidRDefault="00E57CC8" w:rsidP="005150FC"/>
    <w:p w14:paraId="6B3A88DF" w14:textId="77777777" w:rsidR="005150FC" w:rsidRPr="00B95FC2" w:rsidRDefault="005150FC" w:rsidP="00B95FC2"/>
    <w:p w14:paraId="6B3A88E0" w14:textId="7EA94B76" w:rsidR="009811DF" w:rsidRDefault="00F24A31" w:rsidP="003A61BE">
      <w:pPr>
        <w:pStyle w:val="Heading1"/>
        <w:numPr>
          <w:ilvl w:val="0"/>
          <w:numId w:val="44"/>
        </w:numPr>
        <w:spacing w:after="240" w:line="240" w:lineRule="auto"/>
      </w:pPr>
      <w:r>
        <w:lastRenderedPageBreak/>
        <w:tab/>
      </w:r>
      <w:r w:rsidR="00761D0B">
        <w:tab/>
      </w:r>
      <w:r w:rsidR="00761D0B">
        <w:tab/>
      </w:r>
      <w:r w:rsidR="00761D0B">
        <w:tab/>
      </w:r>
      <w:r w:rsidR="00761D0B">
        <w:tab/>
      </w:r>
      <w:r w:rsidR="00733959">
        <w:t xml:space="preserve">        </w:t>
      </w:r>
      <w:bookmarkStart w:id="29" w:name="_Toc491437344"/>
      <w:r w:rsidR="006C1EB0">
        <w:t>Institutionele aspecten</w:t>
      </w:r>
      <w:r w:rsidR="00D745A7">
        <w:t xml:space="preserve"> </w:t>
      </w:r>
      <w:r w:rsidR="009B1466">
        <w:t xml:space="preserve">en functioneren </w:t>
      </w:r>
      <w:r w:rsidR="00D745A7">
        <w:t>van de organisatie</w:t>
      </w:r>
      <w:bookmarkEnd w:id="29"/>
    </w:p>
    <w:p w14:paraId="6B3A88E1" w14:textId="77777777" w:rsidR="00094518" w:rsidRDefault="003A61BE" w:rsidP="003A61BE">
      <w:pPr>
        <w:pStyle w:val="Heading2"/>
        <w:tabs>
          <w:tab w:val="left" w:pos="-1162"/>
          <w:tab w:val="left" w:pos="0"/>
        </w:tabs>
        <w:spacing w:line="240" w:lineRule="auto"/>
        <w:ind w:left="-1162"/>
      </w:pPr>
      <w:bookmarkStart w:id="30" w:name="_Toc491437345"/>
      <w:r w:rsidRPr="003A61BE">
        <w:rPr>
          <w:lang w:val="nl-NL"/>
        </w:rPr>
        <w:t>4.1</w:t>
      </w:r>
      <w:r w:rsidRPr="003A61BE">
        <w:rPr>
          <w:lang w:val="nl-NL"/>
        </w:rPr>
        <w:tab/>
      </w:r>
      <w:r w:rsidR="00743337">
        <w:t xml:space="preserve">Strategie en </w:t>
      </w:r>
      <w:r w:rsidR="002A310E">
        <w:t>verantwoording</w:t>
      </w:r>
      <w:bookmarkEnd w:id="30"/>
    </w:p>
    <w:p w14:paraId="6B3A88E2" w14:textId="3A790965" w:rsidR="00E622AE" w:rsidRDefault="009102A9" w:rsidP="009102A9">
      <w:pPr>
        <w:suppressAutoHyphens/>
        <w:rPr>
          <w:szCs w:val="22"/>
          <w:lang w:eastAsia="ar-SA"/>
        </w:rPr>
      </w:pPr>
      <w:r>
        <w:rPr>
          <w:szCs w:val="22"/>
          <w:lang w:eastAsia="ar-SA"/>
        </w:rPr>
        <w:t>De AsDB heeft een duidelijk kernmandaat gericht op</w:t>
      </w:r>
      <w:r w:rsidR="00CC50A5">
        <w:rPr>
          <w:szCs w:val="22"/>
          <w:lang w:eastAsia="ar-SA"/>
        </w:rPr>
        <w:t xml:space="preserve"> armoedebestrijding </w:t>
      </w:r>
      <w:r w:rsidR="00C02AF8">
        <w:rPr>
          <w:szCs w:val="22"/>
          <w:lang w:eastAsia="ar-SA"/>
        </w:rPr>
        <w:t>en</w:t>
      </w:r>
      <w:r w:rsidR="0026218E">
        <w:rPr>
          <w:szCs w:val="22"/>
          <w:lang w:eastAsia="ar-SA"/>
        </w:rPr>
        <w:t xml:space="preserve"> het verbeteren van leefomstandigheden </w:t>
      </w:r>
      <w:r w:rsidR="00CC50A5">
        <w:rPr>
          <w:szCs w:val="22"/>
          <w:lang w:eastAsia="ar-SA"/>
        </w:rPr>
        <w:t xml:space="preserve">in Azië en de </w:t>
      </w:r>
      <w:r w:rsidR="00CC50A5">
        <w:rPr>
          <w:i/>
          <w:szCs w:val="22"/>
          <w:lang w:eastAsia="ar-SA"/>
        </w:rPr>
        <w:t>Pacific</w:t>
      </w:r>
      <w:r w:rsidR="0026218E">
        <w:rPr>
          <w:szCs w:val="22"/>
          <w:lang w:eastAsia="ar-SA"/>
        </w:rPr>
        <w:t xml:space="preserve">, uitgewerkt via de drie strategische focusgebieden uit </w:t>
      </w:r>
      <w:r w:rsidR="0026218E" w:rsidRPr="0026218E">
        <w:rPr>
          <w:i/>
          <w:szCs w:val="22"/>
          <w:lang w:eastAsia="ar-SA"/>
        </w:rPr>
        <w:t>Strategy 2020</w:t>
      </w:r>
      <w:r w:rsidR="0026218E">
        <w:rPr>
          <w:szCs w:val="22"/>
          <w:lang w:eastAsia="ar-SA"/>
        </w:rPr>
        <w:t xml:space="preserve"> (inclusieve </w:t>
      </w:r>
      <w:r w:rsidR="0026218E">
        <w:rPr>
          <w:bCs/>
          <w:szCs w:val="20"/>
          <w:lang w:eastAsia="ar-SA"/>
        </w:rPr>
        <w:t>economische groei, ecologisch duurzame groei en regionale economische integratie).</w:t>
      </w:r>
      <w:r w:rsidR="0026218E">
        <w:rPr>
          <w:szCs w:val="22"/>
          <w:lang w:eastAsia="ar-SA"/>
        </w:rPr>
        <w:t xml:space="preserve"> </w:t>
      </w:r>
      <w:r>
        <w:rPr>
          <w:szCs w:val="22"/>
          <w:lang w:eastAsia="ar-SA"/>
        </w:rPr>
        <w:t xml:space="preserve">Met </w:t>
      </w:r>
      <w:r w:rsidR="00FD115C">
        <w:rPr>
          <w:szCs w:val="22"/>
          <w:lang w:eastAsia="ar-SA"/>
        </w:rPr>
        <w:t>de selectie</w:t>
      </w:r>
      <w:r>
        <w:rPr>
          <w:szCs w:val="22"/>
          <w:lang w:eastAsia="ar-SA"/>
        </w:rPr>
        <w:t xml:space="preserve"> van de vijf </w:t>
      </w:r>
      <w:r>
        <w:rPr>
          <w:i/>
          <w:szCs w:val="22"/>
          <w:lang w:eastAsia="ar-SA"/>
        </w:rPr>
        <w:t>core operational areas</w:t>
      </w:r>
      <w:r>
        <w:rPr>
          <w:szCs w:val="22"/>
          <w:lang w:eastAsia="ar-SA"/>
        </w:rPr>
        <w:t xml:space="preserve"> (zie onder sectie 2.2) wordt op geloofwaardige wijze invulling gegeven aan het principe van selectiviteit in de strategie. De doelstelling om minstens 80% van door de Bank gefinancierde investeringen op deze terreinen t</w:t>
      </w:r>
      <w:r w:rsidR="00CA5110">
        <w:rPr>
          <w:szCs w:val="22"/>
          <w:lang w:eastAsia="ar-SA"/>
        </w:rPr>
        <w:t xml:space="preserve">e concentreren is </w:t>
      </w:r>
      <w:r w:rsidR="00F579AD">
        <w:rPr>
          <w:szCs w:val="22"/>
          <w:lang w:eastAsia="ar-SA"/>
        </w:rPr>
        <w:t>waargemaakt</w:t>
      </w:r>
      <w:r w:rsidR="001C5FFA">
        <w:rPr>
          <w:szCs w:val="22"/>
          <w:lang w:eastAsia="ar-SA"/>
        </w:rPr>
        <w:t>.</w:t>
      </w:r>
      <w:r w:rsidR="00E622AE">
        <w:rPr>
          <w:szCs w:val="22"/>
          <w:lang w:eastAsia="ar-SA"/>
        </w:rPr>
        <w:t xml:space="preserve"> </w:t>
      </w:r>
      <w:r w:rsidR="003C0620">
        <w:rPr>
          <w:szCs w:val="22"/>
          <w:lang w:eastAsia="ar-SA"/>
        </w:rPr>
        <w:t xml:space="preserve">Op </w:t>
      </w:r>
      <w:r w:rsidR="009C0D03">
        <w:rPr>
          <w:szCs w:val="22"/>
          <w:lang w:eastAsia="ar-SA"/>
        </w:rPr>
        <w:t xml:space="preserve">de </w:t>
      </w:r>
      <w:r>
        <w:rPr>
          <w:szCs w:val="22"/>
          <w:lang w:eastAsia="ar-SA"/>
        </w:rPr>
        <w:t>dwarsdoorsnij</w:t>
      </w:r>
      <w:r w:rsidR="003C0620">
        <w:rPr>
          <w:szCs w:val="22"/>
          <w:lang w:eastAsia="ar-SA"/>
        </w:rPr>
        <w:t xml:space="preserve">dende thema’s gendergelijkheid en </w:t>
      </w:r>
      <w:r w:rsidR="00E622AE">
        <w:rPr>
          <w:szCs w:val="22"/>
          <w:lang w:eastAsia="ar-SA"/>
        </w:rPr>
        <w:t>klimaatverandering</w:t>
      </w:r>
      <w:r w:rsidR="003C0620">
        <w:rPr>
          <w:szCs w:val="22"/>
          <w:lang w:eastAsia="ar-SA"/>
        </w:rPr>
        <w:t xml:space="preserve"> presteert de Bank voldoende, maar is er nog ruimte voor vooruitgang. </w:t>
      </w:r>
    </w:p>
    <w:p w14:paraId="6B3A88E3" w14:textId="77777777" w:rsidR="009102A9" w:rsidRDefault="009102A9" w:rsidP="009102A9">
      <w:pPr>
        <w:suppressAutoHyphens/>
        <w:rPr>
          <w:szCs w:val="22"/>
          <w:lang w:eastAsia="ar-SA"/>
        </w:rPr>
      </w:pPr>
    </w:p>
    <w:p w14:paraId="6B3A88E4" w14:textId="7766EE3E" w:rsidR="007B5D9E" w:rsidRDefault="009102A9" w:rsidP="009102A9">
      <w:pPr>
        <w:rPr>
          <w:lang w:eastAsia="ar-SA"/>
        </w:rPr>
      </w:pPr>
      <w:r>
        <w:t>De AsDB is een goed functionerende, tr</w:t>
      </w:r>
      <w:r w:rsidR="00703202">
        <w:t xml:space="preserve">ansparante ontwikkelingsbank. De </w:t>
      </w:r>
      <w:r w:rsidR="00BC54BD">
        <w:t>langetermijn</w:t>
      </w:r>
      <w:r w:rsidR="00703202">
        <w:t>strategie van de Bank,</w:t>
      </w:r>
      <w:r w:rsidR="00CD0656">
        <w:t xml:space="preserve"> </w:t>
      </w:r>
      <w:r w:rsidR="00CD0656" w:rsidRPr="00CD0656">
        <w:rPr>
          <w:i/>
        </w:rPr>
        <w:t>Strategy 2020</w:t>
      </w:r>
      <w:r w:rsidR="00703202">
        <w:t>,</w:t>
      </w:r>
      <w:r w:rsidR="00CD0656">
        <w:t xml:space="preserve"> is uiteengezet voor de periode 2008 – 2020 en bevat drie strategisc</w:t>
      </w:r>
      <w:r w:rsidR="00050E7F">
        <w:t xml:space="preserve">he agenda’s: </w:t>
      </w:r>
      <w:r w:rsidR="007B5D9E">
        <w:rPr>
          <w:bCs/>
          <w:szCs w:val="20"/>
          <w:lang w:eastAsia="ar-SA"/>
        </w:rPr>
        <w:t>inclusieve economische groei, ecologisch duurzame groei en regionale economische integratie.</w:t>
      </w:r>
      <w:r w:rsidR="00CD0656">
        <w:rPr>
          <w:bCs/>
          <w:szCs w:val="20"/>
          <w:lang w:eastAsia="ar-SA"/>
        </w:rPr>
        <w:t xml:space="preserve"> De beleidsprioriteiten zijn hierin voldoende helder vastgelegd. </w:t>
      </w:r>
      <w:r w:rsidR="00812CAF">
        <w:rPr>
          <w:bCs/>
          <w:szCs w:val="20"/>
          <w:lang w:eastAsia="ar-SA"/>
        </w:rPr>
        <w:t xml:space="preserve">Verder werkt de Bank </w:t>
      </w:r>
      <w:r w:rsidR="00812CAF" w:rsidRPr="001E7FA4">
        <w:rPr>
          <w:lang w:eastAsia="ar-SA"/>
        </w:rPr>
        <w:t xml:space="preserve">met </w:t>
      </w:r>
      <w:r w:rsidR="00812CAF" w:rsidRPr="001E7FA4">
        <w:rPr>
          <w:i/>
          <w:lang w:eastAsia="ar-SA"/>
        </w:rPr>
        <w:t>Country Partnership Strategies (CPSs)</w:t>
      </w:r>
      <w:r w:rsidR="00F66FF0">
        <w:rPr>
          <w:lang w:eastAsia="ar-SA"/>
        </w:rPr>
        <w:t xml:space="preserve">. </w:t>
      </w:r>
      <w:r w:rsidR="00812CAF">
        <w:rPr>
          <w:lang w:eastAsia="ar-SA"/>
        </w:rPr>
        <w:t xml:space="preserve">Deze documenten </w:t>
      </w:r>
      <w:r w:rsidR="00CB438C">
        <w:rPr>
          <w:lang w:eastAsia="ar-SA"/>
        </w:rPr>
        <w:t>beschrijven op hoofdlijnen hoe de A</w:t>
      </w:r>
      <w:r w:rsidR="00DA601E">
        <w:rPr>
          <w:lang w:eastAsia="ar-SA"/>
        </w:rPr>
        <w:t>s</w:t>
      </w:r>
      <w:r w:rsidR="00CB438C">
        <w:rPr>
          <w:lang w:eastAsia="ar-SA"/>
        </w:rPr>
        <w:t xml:space="preserve">DB zich zal inzetten in het betreffende land en </w:t>
      </w:r>
      <w:r w:rsidR="00812CAF">
        <w:rPr>
          <w:lang w:eastAsia="ar-SA"/>
        </w:rPr>
        <w:t xml:space="preserve">worden </w:t>
      </w:r>
      <w:r w:rsidR="00812CAF" w:rsidRPr="001E7FA4">
        <w:rPr>
          <w:lang w:eastAsia="ar-SA"/>
        </w:rPr>
        <w:t xml:space="preserve">in samenspraak met het </w:t>
      </w:r>
      <w:r w:rsidR="00812CAF">
        <w:rPr>
          <w:lang w:eastAsia="ar-SA"/>
        </w:rPr>
        <w:t xml:space="preserve">betreffende </w:t>
      </w:r>
      <w:r w:rsidR="00812CAF" w:rsidRPr="001E7FA4">
        <w:rPr>
          <w:lang w:eastAsia="ar-SA"/>
        </w:rPr>
        <w:t>land ontwikkeld</w:t>
      </w:r>
      <w:r w:rsidR="00812CAF">
        <w:rPr>
          <w:lang w:eastAsia="ar-SA"/>
        </w:rPr>
        <w:t>.</w:t>
      </w:r>
      <w:r w:rsidR="00CE06A8">
        <w:rPr>
          <w:lang w:eastAsia="ar-SA"/>
        </w:rPr>
        <w:t xml:space="preserve"> </w:t>
      </w:r>
    </w:p>
    <w:p w14:paraId="6B3A88E5" w14:textId="77777777" w:rsidR="00B82EDC" w:rsidRDefault="00B82EDC" w:rsidP="009102A9"/>
    <w:p w14:paraId="6B3A88E6" w14:textId="77777777" w:rsidR="00C43977" w:rsidRDefault="00C43977" w:rsidP="009102A9">
      <w:r>
        <w:t>De RvB is voldoende betrokken bij de besluitvorming over activiteiten en institutionele kwesti</w:t>
      </w:r>
      <w:r w:rsidR="00A64D6D">
        <w:t>es. Een aandachtspunt wat betreft</w:t>
      </w:r>
      <w:r>
        <w:t xml:space="preserve"> </w:t>
      </w:r>
      <w:r w:rsidR="00A64D6D">
        <w:t xml:space="preserve">verantwoording is echter </w:t>
      </w:r>
      <w:r>
        <w:t>zeggenschap van de RvB over het operationele plan. Deze is namelijk vooral gericht op de begroting en in mindere mate op het onderliggende werkplan.</w:t>
      </w:r>
      <w:r w:rsidR="00A64D6D">
        <w:t xml:space="preserve"> Hierdoor heeft de RvB minder zeggenschap over de </w:t>
      </w:r>
      <w:r w:rsidR="0091776E">
        <w:t>operationele</w:t>
      </w:r>
      <w:r w:rsidR="00A64D6D">
        <w:t xml:space="preserve"> planning dan wenselijk. </w:t>
      </w:r>
      <w:r>
        <w:t xml:space="preserve"> </w:t>
      </w:r>
    </w:p>
    <w:p w14:paraId="6B3A88E7" w14:textId="77777777" w:rsidR="00C43977" w:rsidRDefault="00C43977" w:rsidP="009102A9"/>
    <w:p w14:paraId="6B3A88E8" w14:textId="0E29C778" w:rsidR="00C1381A" w:rsidRDefault="00C1381A" w:rsidP="00C1381A">
      <w:r>
        <w:t xml:space="preserve">De AsDB heeft een uitgebreid </w:t>
      </w:r>
      <w:r w:rsidRPr="00BC54BD">
        <w:rPr>
          <w:i/>
        </w:rPr>
        <w:t>safeguards</w:t>
      </w:r>
      <w:r w:rsidR="00BC54BD">
        <w:t>-</w:t>
      </w:r>
      <w:r>
        <w:t>beleid met als doel het minimaliseren, mitigeren en compenseren van nadelige gevolgen van haar activiteiten op mens en milieu</w:t>
      </w:r>
      <w:r w:rsidR="001C5FFA">
        <w:t>.</w:t>
      </w:r>
      <w:r>
        <w:t xml:space="preserve"> De evaluatie van het ADF laat zien dat de Bank specifieker moet zijn in hoe </w:t>
      </w:r>
      <w:r w:rsidR="00714E2B">
        <w:t>haar activiteiten inclusieve groei bevorderen</w:t>
      </w:r>
      <w:r>
        <w:t xml:space="preserve"> door duidelijker te zijn over hoe iedere interventie arme, kwetsbare en gemarginaliseerde groepen beïnvloedt</w:t>
      </w:r>
      <w:r w:rsidR="001C5FFA">
        <w:t>.</w:t>
      </w:r>
      <w:r>
        <w:t xml:space="preserve"> </w:t>
      </w:r>
    </w:p>
    <w:p w14:paraId="6B3A88E9" w14:textId="2349D1F6" w:rsidR="00D63691" w:rsidRDefault="00441789" w:rsidP="009102A9">
      <w:r>
        <w:t>Via het</w:t>
      </w:r>
      <w:r w:rsidR="00A21D71">
        <w:t xml:space="preserve"> </w:t>
      </w:r>
      <w:r>
        <w:rPr>
          <w:i/>
        </w:rPr>
        <w:t xml:space="preserve">Accountability Mechanism </w:t>
      </w:r>
      <w:r>
        <w:t>van de Bank kunnen mensen die nadelige gevolgen hebben ondervonden van</w:t>
      </w:r>
      <w:r w:rsidR="003076A8">
        <w:t xml:space="preserve"> AsDB-</w:t>
      </w:r>
      <w:r>
        <w:t>gefinancierde projecten een oplossing zoeken voor hun problem</w:t>
      </w:r>
      <w:r w:rsidR="00050E7F">
        <w:t xml:space="preserve">en en vermeende nalatigheid in </w:t>
      </w:r>
      <w:r>
        <w:t xml:space="preserve">het naleven van beleid en procedures melden. </w:t>
      </w:r>
      <w:r w:rsidR="00A40AA8">
        <w:t xml:space="preserve">Het zoeken naar adequate oplossingen bij problemen </w:t>
      </w:r>
      <w:r w:rsidR="007C47AC">
        <w:t>die (waarschijnlijk) het gevolg</w:t>
      </w:r>
      <w:r w:rsidR="00A40AA8">
        <w:t xml:space="preserve"> zijn van A</w:t>
      </w:r>
      <w:r w:rsidR="00DA601E">
        <w:t>s</w:t>
      </w:r>
      <w:r w:rsidR="00A40AA8">
        <w:t xml:space="preserve">DB-gefinancierde projecten wordt geleid door de </w:t>
      </w:r>
      <w:r w:rsidR="00A40AA8">
        <w:rPr>
          <w:i/>
        </w:rPr>
        <w:t>Special Project Facilitator.</w:t>
      </w:r>
      <w:r w:rsidR="00A40AA8">
        <w:t xml:space="preserve"> </w:t>
      </w:r>
      <w:r w:rsidR="003076A8">
        <w:t xml:space="preserve">Het </w:t>
      </w:r>
      <w:r w:rsidR="007C47AC" w:rsidRPr="007C47AC">
        <w:rPr>
          <w:i/>
        </w:rPr>
        <w:t>C</w:t>
      </w:r>
      <w:r w:rsidR="007C47AC">
        <w:rPr>
          <w:i/>
        </w:rPr>
        <w:t>ompliance Review P</w:t>
      </w:r>
      <w:r>
        <w:rPr>
          <w:i/>
        </w:rPr>
        <w:t>anel</w:t>
      </w:r>
      <w:r>
        <w:t xml:space="preserve"> </w:t>
      </w:r>
      <w:r w:rsidR="003076A8">
        <w:t xml:space="preserve">onderzoekt </w:t>
      </w:r>
      <w:r>
        <w:t>de vermeende nalatigheid van de AsDB</w:t>
      </w:r>
      <w:r w:rsidR="007C47AC">
        <w:t xml:space="preserve"> wanneer het nadelige gevolgen heeft of kan </w:t>
      </w:r>
      <w:r w:rsidR="00A40AA8">
        <w:t xml:space="preserve">hebben voor de lokale bevolking. </w:t>
      </w:r>
      <w:r w:rsidR="00066622">
        <w:t xml:space="preserve">De Bank scoort een voldoende op accountability in het </w:t>
      </w:r>
      <w:r w:rsidR="00066622">
        <w:rPr>
          <w:i/>
        </w:rPr>
        <w:t>Multilateral Development Assessment Review 2016</w:t>
      </w:r>
      <w:r w:rsidR="009C26CF" w:rsidRPr="009C26CF">
        <w:t xml:space="preserve">. </w:t>
      </w:r>
    </w:p>
    <w:p w14:paraId="6B3A88EA" w14:textId="77777777" w:rsidR="009711D9" w:rsidRDefault="00EA7E27" w:rsidP="00326699">
      <w:r>
        <w:t xml:space="preserve"> </w:t>
      </w:r>
      <w:r w:rsidR="00D63691">
        <w:t xml:space="preserve"> </w:t>
      </w:r>
      <w:r w:rsidR="00994E2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9A513F" w14:paraId="6B3A88ED" w14:textId="77777777" w:rsidTr="00F313B0">
        <w:tc>
          <w:tcPr>
            <w:tcW w:w="6912" w:type="dxa"/>
            <w:tcBorders>
              <w:top w:val="single" w:sz="12" w:space="0" w:color="auto"/>
              <w:left w:val="single" w:sz="12" w:space="0" w:color="auto"/>
              <w:bottom w:val="single" w:sz="12" w:space="0" w:color="auto"/>
            </w:tcBorders>
            <w:shd w:val="clear" w:color="auto" w:fill="D9D9D9"/>
          </w:tcPr>
          <w:p w14:paraId="6B3A88EB" w14:textId="77777777" w:rsidR="009A513F" w:rsidRPr="00EA0AA8" w:rsidRDefault="009A513F" w:rsidP="00326699">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9D9D9"/>
          </w:tcPr>
          <w:p w14:paraId="6B3A88EC" w14:textId="77777777" w:rsidR="009A513F" w:rsidRPr="00EA0AA8" w:rsidRDefault="009A513F" w:rsidP="00326699">
            <w:pPr>
              <w:rPr>
                <w:b/>
              </w:rPr>
            </w:pPr>
            <w:r w:rsidRPr="00EA0AA8">
              <w:rPr>
                <w:b/>
              </w:rPr>
              <w:t>Score</w:t>
            </w:r>
          </w:p>
        </w:tc>
      </w:tr>
      <w:tr w:rsidR="009A513F" w14:paraId="6B3A88F0" w14:textId="77777777" w:rsidTr="00F313B0">
        <w:tc>
          <w:tcPr>
            <w:tcW w:w="6912" w:type="dxa"/>
            <w:tcBorders>
              <w:top w:val="single" w:sz="12" w:space="0" w:color="auto"/>
              <w:left w:val="single" w:sz="12" w:space="0" w:color="auto"/>
            </w:tcBorders>
            <w:shd w:val="clear" w:color="auto" w:fill="auto"/>
          </w:tcPr>
          <w:p w14:paraId="6B3A88EE" w14:textId="77777777" w:rsidR="009A513F" w:rsidRDefault="00DE2DA8" w:rsidP="00326699">
            <w:r>
              <w:t>Kernmandaat / Prioriteiten / Mission Creep</w:t>
            </w:r>
          </w:p>
        </w:tc>
        <w:tc>
          <w:tcPr>
            <w:tcW w:w="955" w:type="dxa"/>
            <w:tcBorders>
              <w:top w:val="single" w:sz="12" w:space="0" w:color="auto"/>
              <w:right w:val="single" w:sz="12" w:space="0" w:color="auto"/>
            </w:tcBorders>
            <w:shd w:val="clear" w:color="auto" w:fill="auto"/>
          </w:tcPr>
          <w:p w14:paraId="6B3A88EF" w14:textId="77777777" w:rsidR="009A513F" w:rsidRDefault="00DE2DA8" w:rsidP="00326699">
            <w:r>
              <w:t>3</w:t>
            </w:r>
          </w:p>
        </w:tc>
      </w:tr>
      <w:tr w:rsidR="009A513F" w14:paraId="6B3A88F3" w14:textId="77777777" w:rsidTr="00F313B0">
        <w:tc>
          <w:tcPr>
            <w:tcW w:w="6912" w:type="dxa"/>
            <w:tcBorders>
              <w:left w:val="single" w:sz="12" w:space="0" w:color="auto"/>
            </w:tcBorders>
            <w:shd w:val="clear" w:color="auto" w:fill="auto"/>
          </w:tcPr>
          <w:p w14:paraId="6B3A88F1" w14:textId="77777777" w:rsidR="009A513F" w:rsidRDefault="00DE2DA8" w:rsidP="00326699">
            <w:r>
              <w:t>Beleidsstrategie</w:t>
            </w:r>
          </w:p>
        </w:tc>
        <w:tc>
          <w:tcPr>
            <w:tcW w:w="955" w:type="dxa"/>
            <w:tcBorders>
              <w:right w:val="single" w:sz="12" w:space="0" w:color="auto"/>
            </w:tcBorders>
            <w:shd w:val="clear" w:color="auto" w:fill="auto"/>
          </w:tcPr>
          <w:p w14:paraId="6B3A88F2" w14:textId="77777777" w:rsidR="009A513F" w:rsidRDefault="00714E2B" w:rsidP="00326699">
            <w:r>
              <w:t>3</w:t>
            </w:r>
          </w:p>
        </w:tc>
      </w:tr>
      <w:tr w:rsidR="009A513F" w14:paraId="6B3A88F6" w14:textId="77777777" w:rsidTr="00A13499">
        <w:tc>
          <w:tcPr>
            <w:tcW w:w="6912" w:type="dxa"/>
            <w:tcBorders>
              <w:left w:val="single" w:sz="12" w:space="0" w:color="auto"/>
              <w:bottom w:val="single" w:sz="4" w:space="0" w:color="auto"/>
            </w:tcBorders>
            <w:shd w:val="clear" w:color="auto" w:fill="auto"/>
          </w:tcPr>
          <w:p w14:paraId="6B3A88F4" w14:textId="77777777" w:rsidR="009A513F" w:rsidRDefault="00DE2DA8" w:rsidP="00326699">
            <w:r>
              <w:t>Theory of Change</w:t>
            </w:r>
          </w:p>
        </w:tc>
        <w:tc>
          <w:tcPr>
            <w:tcW w:w="955" w:type="dxa"/>
            <w:tcBorders>
              <w:right w:val="single" w:sz="12" w:space="0" w:color="auto"/>
            </w:tcBorders>
            <w:shd w:val="clear" w:color="auto" w:fill="auto"/>
          </w:tcPr>
          <w:p w14:paraId="6B3A88F5" w14:textId="77777777" w:rsidR="009A513F" w:rsidRDefault="00C1381A" w:rsidP="00326699">
            <w:r>
              <w:t>-</w:t>
            </w:r>
          </w:p>
        </w:tc>
      </w:tr>
      <w:tr w:rsidR="009A513F" w14:paraId="6B3A88F9" w14:textId="77777777" w:rsidTr="00A13499">
        <w:tc>
          <w:tcPr>
            <w:tcW w:w="6912" w:type="dxa"/>
            <w:tcBorders>
              <w:top w:val="single" w:sz="4" w:space="0" w:color="auto"/>
              <w:left w:val="single" w:sz="12" w:space="0" w:color="auto"/>
              <w:bottom w:val="single" w:sz="4" w:space="0" w:color="auto"/>
            </w:tcBorders>
            <w:shd w:val="clear" w:color="auto" w:fill="auto"/>
          </w:tcPr>
          <w:p w14:paraId="6B3A88F7" w14:textId="77777777" w:rsidR="009A513F" w:rsidRDefault="00DE2DA8" w:rsidP="00326699">
            <w:r>
              <w:t>Aansluiting Nationaal beleid / Armoedestrategie</w:t>
            </w:r>
          </w:p>
        </w:tc>
        <w:tc>
          <w:tcPr>
            <w:tcW w:w="955" w:type="dxa"/>
            <w:tcBorders>
              <w:bottom w:val="single" w:sz="4" w:space="0" w:color="auto"/>
              <w:right w:val="single" w:sz="12" w:space="0" w:color="auto"/>
            </w:tcBorders>
            <w:shd w:val="clear" w:color="auto" w:fill="auto"/>
          </w:tcPr>
          <w:p w14:paraId="6B3A88F8" w14:textId="77777777" w:rsidR="009A513F" w:rsidRDefault="00812CAF" w:rsidP="00326699">
            <w:r>
              <w:t>3</w:t>
            </w:r>
          </w:p>
        </w:tc>
      </w:tr>
      <w:tr w:rsidR="002A310E" w14:paraId="6B3A88FC" w14:textId="77777777" w:rsidTr="00180CBA">
        <w:tc>
          <w:tcPr>
            <w:tcW w:w="6912" w:type="dxa"/>
            <w:tcBorders>
              <w:top w:val="single" w:sz="4" w:space="0" w:color="auto"/>
              <w:left w:val="single" w:sz="12" w:space="0" w:color="auto"/>
              <w:bottom w:val="single" w:sz="4" w:space="0" w:color="auto"/>
            </w:tcBorders>
            <w:shd w:val="clear" w:color="auto" w:fill="auto"/>
          </w:tcPr>
          <w:p w14:paraId="6B3A88FA" w14:textId="77777777" w:rsidR="002A310E" w:rsidRDefault="005F3FB6" w:rsidP="00326699">
            <w:r>
              <w:t>Verantwoording</w:t>
            </w:r>
            <w:r w:rsidR="00BA3472">
              <w:t xml:space="preserve"> </w:t>
            </w:r>
          </w:p>
        </w:tc>
        <w:tc>
          <w:tcPr>
            <w:tcW w:w="955" w:type="dxa"/>
            <w:tcBorders>
              <w:bottom w:val="single" w:sz="4" w:space="0" w:color="auto"/>
              <w:right w:val="single" w:sz="12" w:space="0" w:color="auto"/>
            </w:tcBorders>
            <w:shd w:val="clear" w:color="auto" w:fill="auto"/>
          </w:tcPr>
          <w:p w14:paraId="6B3A88FB" w14:textId="77777777" w:rsidR="002A310E" w:rsidRDefault="00547C01" w:rsidP="00326699">
            <w:r>
              <w:t>2</w:t>
            </w:r>
          </w:p>
        </w:tc>
      </w:tr>
      <w:tr w:rsidR="00BA3472" w14:paraId="6B3A88FF" w14:textId="77777777" w:rsidTr="00AF7691">
        <w:tc>
          <w:tcPr>
            <w:tcW w:w="6912" w:type="dxa"/>
            <w:tcBorders>
              <w:top w:val="single" w:sz="4" w:space="0" w:color="auto"/>
              <w:left w:val="single" w:sz="12" w:space="0" w:color="auto"/>
              <w:bottom w:val="single" w:sz="12" w:space="0" w:color="auto"/>
            </w:tcBorders>
            <w:shd w:val="clear" w:color="auto" w:fill="auto"/>
          </w:tcPr>
          <w:p w14:paraId="6B3A88FD" w14:textId="77777777" w:rsidR="00BA3472" w:rsidRDefault="00BA3472" w:rsidP="003E0DD1">
            <w:r>
              <w:t xml:space="preserve">Aanspreekbaarheid </w:t>
            </w:r>
            <w:r w:rsidR="003E0DD1">
              <w:t>voor overige belanghebbenden</w:t>
            </w:r>
          </w:p>
        </w:tc>
        <w:tc>
          <w:tcPr>
            <w:tcW w:w="955" w:type="dxa"/>
            <w:tcBorders>
              <w:bottom w:val="single" w:sz="12" w:space="0" w:color="auto"/>
              <w:right w:val="single" w:sz="12" w:space="0" w:color="auto"/>
            </w:tcBorders>
            <w:shd w:val="clear" w:color="auto" w:fill="auto"/>
          </w:tcPr>
          <w:p w14:paraId="6B3A88FE" w14:textId="77777777" w:rsidR="00BA3472" w:rsidRDefault="00180CBA" w:rsidP="00326699">
            <w:r>
              <w:t>3</w:t>
            </w:r>
          </w:p>
        </w:tc>
      </w:tr>
      <w:tr w:rsidR="009A513F" w14:paraId="6B3A8902" w14:textId="77777777" w:rsidTr="00B06CE6">
        <w:tc>
          <w:tcPr>
            <w:tcW w:w="6912" w:type="dxa"/>
            <w:tcBorders>
              <w:top w:val="single" w:sz="12" w:space="0" w:color="auto"/>
              <w:left w:val="single" w:sz="12" w:space="0" w:color="auto"/>
              <w:bottom w:val="single" w:sz="12" w:space="0" w:color="auto"/>
            </w:tcBorders>
            <w:shd w:val="clear" w:color="auto" w:fill="D0CECE"/>
          </w:tcPr>
          <w:p w14:paraId="6B3A8900" w14:textId="77777777" w:rsidR="009A513F" w:rsidRPr="00EA0AA8" w:rsidRDefault="009A513F" w:rsidP="00326699">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3A8901" w14:textId="77777777" w:rsidR="009A513F" w:rsidRPr="00EA0AA8" w:rsidRDefault="00A04081" w:rsidP="00326699">
            <w:pPr>
              <w:rPr>
                <w:b/>
              </w:rPr>
            </w:pPr>
            <w:r>
              <w:rPr>
                <w:b/>
              </w:rPr>
              <w:t>3</w:t>
            </w:r>
          </w:p>
        </w:tc>
      </w:tr>
    </w:tbl>
    <w:p w14:paraId="6B3A8903" w14:textId="77777777" w:rsidR="008A08E8" w:rsidRDefault="008A08E8" w:rsidP="00326699"/>
    <w:p w14:paraId="6B3A8904" w14:textId="77777777" w:rsidR="00CD5427" w:rsidRDefault="00326699" w:rsidP="00491FFC">
      <w:pPr>
        <w:ind w:firstLine="227"/>
      </w:pPr>
      <w:r w:rsidRPr="00193994">
        <w:t>Verandering</w:t>
      </w:r>
      <w:r w:rsidR="009A513F">
        <w:t xml:space="preserve"> sinds 2015</w:t>
      </w:r>
      <w:r w:rsidR="00AF4978">
        <w:t xml:space="preserve">: </w:t>
      </w:r>
      <w:r w:rsidR="004E0158">
        <w:t>neutraal</w:t>
      </w:r>
      <w:r w:rsidR="004E0158" w:rsidRPr="00193994">
        <w:t xml:space="preserve"> = </w:t>
      </w:r>
      <w:r w:rsidR="004E0158" w:rsidRPr="00193994">
        <w:sym w:font="Wingdings" w:char="F0E8"/>
      </w:r>
    </w:p>
    <w:p w14:paraId="6B3A8905" w14:textId="38569903" w:rsidR="002D6BF5" w:rsidRPr="003A61BE" w:rsidRDefault="00812355" w:rsidP="003A61BE">
      <w:pPr>
        <w:pStyle w:val="Heading2"/>
        <w:numPr>
          <w:ilvl w:val="1"/>
          <w:numId w:val="44"/>
        </w:numPr>
        <w:tabs>
          <w:tab w:val="left" w:pos="-1162"/>
          <w:tab w:val="left" w:pos="0"/>
        </w:tabs>
        <w:spacing w:line="240" w:lineRule="auto"/>
        <w:rPr>
          <w:lang w:val="en-US"/>
        </w:rPr>
      </w:pPr>
      <w:r>
        <w:rPr>
          <w:lang w:val="en-US"/>
        </w:rPr>
        <w:lastRenderedPageBreak/>
        <w:t xml:space="preserve">       </w:t>
      </w:r>
      <w:bookmarkStart w:id="31" w:name="_Toc491437346"/>
      <w:r w:rsidR="00032C0E">
        <w:rPr>
          <w:lang w:val="en-US"/>
        </w:rPr>
        <w:t>Resultaatgerichtheid en transparantie</w:t>
      </w:r>
      <w:bookmarkEnd w:id="31"/>
    </w:p>
    <w:p w14:paraId="6B3A8906" w14:textId="2DD02269" w:rsidR="006D04FC" w:rsidRDefault="00C86312" w:rsidP="006D04FC">
      <w:pPr>
        <w:rPr>
          <w:lang w:eastAsia="ar-SA"/>
        </w:rPr>
      </w:pPr>
      <w:r>
        <w:t xml:space="preserve">De AsDB heeft een sterke resultatencultuur en gebruikt een gedegen </w:t>
      </w:r>
      <w:r w:rsidR="00DD2107">
        <w:t>resultatenraamwerk</w:t>
      </w:r>
      <w:r>
        <w:t xml:space="preserve">. Dit raamwerk is </w:t>
      </w:r>
      <w:r>
        <w:rPr>
          <w:lang w:eastAsia="ar-SA"/>
        </w:rPr>
        <w:t xml:space="preserve">geïntroduceerd in </w:t>
      </w:r>
      <w:r w:rsidRPr="001E7FA4">
        <w:rPr>
          <w:lang w:eastAsia="ar-SA"/>
        </w:rPr>
        <w:t>2008</w:t>
      </w:r>
      <w:r>
        <w:rPr>
          <w:lang w:eastAsia="ar-SA"/>
        </w:rPr>
        <w:t xml:space="preserve"> en </w:t>
      </w:r>
      <w:r w:rsidR="00BC54BD">
        <w:rPr>
          <w:lang w:eastAsia="ar-SA"/>
        </w:rPr>
        <w:t>geu</w:t>
      </w:r>
      <w:r w:rsidRPr="00234069">
        <w:rPr>
          <w:lang w:eastAsia="ar-SA"/>
        </w:rPr>
        <w:t xml:space="preserve">pdate in 2013. </w:t>
      </w:r>
      <w:r w:rsidRPr="000F2EB8">
        <w:rPr>
          <w:lang w:eastAsia="ar-SA"/>
        </w:rPr>
        <w:t xml:space="preserve">Het bevat nauw omschreven indicatoren en is in de gehele bank ingevoerd. </w:t>
      </w:r>
      <w:r w:rsidR="006D04FC" w:rsidRPr="000F2EB8">
        <w:rPr>
          <w:lang w:eastAsia="ar-SA"/>
        </w:rPr>
        <w:t xml:space="preserve">Het wordt gebruikt bij besluitvorming voor organisatorische aanpassingen, zoals bij de recente hervorming van het aanbestedingsbeleid. Het raamwerk wordt tevens gebruikt voor besluitvorming rondom de begroting en de programmering van nieuwe projecten. </w:t>
      </w:r>
    </w:p>
    <w:p w14:paraId="6B3A8907" w14:textId="77777777" w:rsidR="00DD2107" w:rsidRDefault="00DD2107" w:rsidP="00C86312">
      <w:pPr>
        <w:rPr>
          <w:lang w:eastAsia="ar-SA"/>
        </w:rPr>
      </w:pPr>
    </w:p>
    <w:p w14:paraId="6B3A8908" w14:textId="77777777" w:rsidR="00C86312" w:rsidRPr="00C85F26" w:rsidRDefault="00C86312" w:rsidP="00C86312">
      <w:pPr>
        <w:rPr>
          <w:iCs/>
          <w:lang w:eastAsia="ar-SA"/>
        </w:rPr>
      </w:pPr>
      <w:r w:rsidRPr="001E7FA4">
        <w:rPr>
          <w:lang w:eastAsia="ar-SA"/>
        </w:rPr>
        <w:t>Jaarlijks wordt v</w:t>
      </w:r>
      <w:r w:rsidR="00BB102C">
        <w:rPr>
          <w:lang w:eastAsia="ar-SA"/>
        </w:rPr>
        <w:t>erslag gedaan van de behaalde resultaten</w:t>
      </w:r>
      <w:r w:rsidRPr="001E7FA4">
        <w:rPr>
          <w:lang w:eastAsia="ar-SA"/>
        </w:rPr>
        <w:t xml:space="preserve"> in de </w:t>
      </w:r>
      <w:r w:rsidRPr="001E7FA4">
        <w:rPr>
          <w:i/>
          <w:iCs/>
          <w:lang w:eastAsia="ar-SA"/>
        </w:rPr>
        <w:t xml:space="preserve">Development Effectiveness Review </w:t>
      </w:r>
      <w:r w:rsidRPr="00D6388C">
        <w:rPr>
          <w:iCs/>
          <w:lang w:eastAsia="ar-SA"/>
        </w:rPr>
        <w:t>(DER)</w:t>
      </w:r>
      <w:r w:rsidR="009C5250" w:rsidRPr="00D6388C">
        <w:rPr>
          <w:iCs/>
          <w:lang w:eastAsia="ar-SA"/>
        </w:rPr>
        <w:t>,</w:t>
      </w:r>
      <w:r w:rsidR="009C5250">
        <w:rPr>
          <w:iCs/>
          <w:lang w:eastAsia="ar-SA"/>
        </w:rPr>
        <w:t xml:space="preserve"> dat op website van de Bank wordt gepubliceerd. </w:t>
      </w:r>
      <w:r w:rsidR="006D142A">
        <w:rPr>
          <w:iCs/>
          <w:lang w:eastAsia="ar-SA"/>
        </w:rPr>
        <w:t>Dit gebeurt op inzichtelijke wijze: ui</w:t>
      </w:r>
      <w:r w:rsidR="00E33614">
        <w:rPr>
          <w:iCs/>
          <w:lang w:eastAsia="ar-SA"/>
        </w:rPr>
        <w:t xml:space="preserve">t het verslag blijkt duidelijk </w:t>
      </w:r>
      <w:r w:rsidR="006D142A">
        <w:rPr>
          <w:iCs/>
          <w:lang w:eastAsia="ar-SA"/>
        </w:rPr>
        <w:t xml:space="preserve">wat de resultaten </w:t>
      </w:r>
      <w:r w:rsidR="00DC5DA8">
        <w:rPr>
          <w:iCs/>
          <w:lang w:eastAsia="ar-SA"/>
        </w:rPr>
        <w:t>zijn en hoe die zich ve</w:t>
      </w:r>
      <w:r w:rsidR="00E33614">
        <w:rPr>
          <w:iCs/>
          <w:lang w:eastAsia="ar-SA"/>
        </w:rPr>
        <w:t xml:space="preserve">rhouden tot de gestelde doelen. </w:t>
      </w:r>
      <w:r>
        <w:rPr>
          <w:iCs/>
          <w:lang w:eastAsia="ar-SA"/>
        </w:rPr>
        <w:t xml:space="preserve">Daarnaast is de kwaliteit van het proces geborgd door reguliere </w:t>
      </w:r>
      <w:r w:rsidRPr="001C1891">
        <w:rPr>
          <w:i/>
          <w:iCs/>
          <w:lang w:eastAsia="ar-SA"/>
        </w:rPr>
        <w:t>reviews</w:t>
      </w:r>
      <w:r>
        <w:rPr>
          <w:iCs/>
          <w:lang w:eastAsia="ar-SA"/>
        </w:rPr>
        <w:t xml:space="preserve"> uitgevoerd door het </w:t>
      </w:r>
      <w:r w:rsidRPr="008006EB">
        <w:rPr>
          <w:i/>
          <w:iCs/>
          <w:lang w:eastAsia="ar-SA"/>
        </w:rPr>
        <w:t>Independent Evaluation Department</w:t>
      </w:r>
      <w:r>
        <w:rPr>
          <w:iCs/>
          <w:lang w:eastAsia="ar-SA"/>
        </w:rPr>
        <w:t xml:space="preserve"> (IED) en door het toezicht van de </w:t>
      </w:r>
      <w:r>
        <w:rPr>
          <w:i/>
          <w:iCs/>
          <w:lang w:eastAsia="ar-SA"/>
        </w:rPr>
        <w:t>Board</w:t>
      </w:r>
      <w:r>
        <w:rPr>
          <w:iCs/>
          <w:lang w:eastAsia="ar-SA"/>
        </w:rPr>
        <w:t xml:space="preserve">, met name via het </w:t>
      </w:r>
      <w:r w:rsidRPr="008006EB">
        <w:rPr>
          <w:i/>
          <w:iCs/>
          <w:lang w:eastAsia="ar-SA"/>
        </w:rPr>
        <w:t>Development Effectiveness Committee</w:t>
      </w:r>
      <w:r>
        <w:rPr>
          <w:iCs/>
          <w:lang w:eastAsia="ar-SA"/>
        </w:rPr>
        <w:t xml:space="preserve"> (DEC).</w:t>
      </w:r>
      <w:r w:rsidR="00C85F26">
        <w:rPr>
          <w:iCs/>
          <w:lang w:eastAsia="ar-SA"/>
        </w:rPr>
        <w:t xml:space="preserve"> Verder vindt er een onafhankelijke dubbelcheck plaats van de resultaten via het </w:t>
      </w:r>
      <w:r w:rsidR="00C85F26">
        <w:rPr>
          <w:i/>
          <w:iCs/>
          <w:lang w:eastAsia="ar-SA"/>
        </w:rPr>
        <w:t>Annual Evaluation Report</w:t>
      </w:r>
      <w:r w:rsidR="00C85F26">
        <w:rPr>
          <w:iCs/>
          <w:lang w:eastAsia="ar-SA"/>
        </w:rPr>
        <w:t xml:space="preserve"> van de onafhankelijke evaluatiedienst. </w:t>
      </w:r>
    </w:p>
    <w:p w14:paraId="6B3A8909" w14:textId="77777777" w:rsidR="00BE39BB" w:rsidRDefault="00BE39BB" w:rsidP="00C86312">
      <w:pPr>
        <w:rPr>
          <w:iCs/>
          <w:lang w:eastAsia="ar-SA"/>
        </w:rPr>
      </w:pPr>
    </w:p>
    <w:p w14:paraId="6B3A890A" w14:textId="61BF9CAA" w:rsidR="00BE39BB" w:rsidRPr="00305705" w:rsidRDefault="00BC558D" w:rsidP="00C86312">
      <w:pPr>
        <w:rPr>
          <w:iCs/>
          <w:lang w:eastAsia="ar-SA"/>
        </w:rPr>
      </w:pPr>
      <w:r>
        <w:rPr>
          <w:iCs/>
          <w:lang w:eastAsia="ar-SA"/>
        </w:rPr>
        <w:t xml:space="preserve">De AsDB </w:t>
      </w:r>
      <w:r w:rsidR="00D6388C">
        <w:rPr>
          <w:iCs/>
          <w:lang w:eastAsia="ar-SA"/>
        </w:rPr>
        <w:t xml:space="preserve">staat op de </w:t>
      </w:r>
      <w:r w:rsidR="003961AA">
        <w:rPr>
          <w:iCs/>
          <w:lang w:eastAsia="ar-SA"/>
        </w:rPr>
        <w:t>plaats</w:t>
      </w:r>
      <w:r w:rsidR="00D6388C">
        <w:rPr>
          <w:iCs/>
          <w:lang w:eastAsia="ar-SA"/>
        </w:rPr>
        <w:t xml:space="preserve"> acht van de 46</w:t>
      </w:r>
      <w:r w:rsidR="003961AA">
        <w:rPr>
          <w:iCs/>
          <w:lang w:eastAsia="ar-SA"/>
        </w:rPr>
        <w:t xml:space="preserve"> op de </w:t>
      </w:r>
      <w:r w:rsidR="003961AA">
        <w:rPr>
          <w:i/>
          <w:iCs/>
          <w:lang w:eastAsia="ar-SA"/>
        </w:rPr>
        <w:t>Aid Transparency Index 2016</w:t>
      </w:r>
      <w:r w:rsidR="00305705">
        <w:rPr>
          <w:iCs/>
          <w:lang w:eastAsia="ar-SA"/>
        </w:rPr>
        <w:t xml:space="preserve">. </w:t>
      </w:r>
      <w:r w:rsidR="003F46FA">
        <w:rPr>
          <w:iCs/>
          <w:lang w:eastAsia="ar-SA"/>
        </w:rPr>
        <w:t xml:space="preserve">Daarmee valt de Bank in de </w:t>
      </w:r>
      <w:r w:rsidR="00D6388C">
        <w:rPr>
          <w:iCs/>
          <w:lang w:eastAsia="ar-SA"/>
        </w:rPr>
        <w:t>categorie ‘</w:t>
      </w:r>
      <w:r w:rsidR="00D6388C">
        <w:rPr>
          <w:i/>
          <w:iCs/>
          <w:lang w:eastAsia="ar-SA"/>
        </w:rPr>
        <w:t>very good</w:t>
      </w:r>
      <w:r w:rsidR="00D6388C">
        <w:rPr>
          <w:iCs/>
          <w:lang w:eastAsia="ar-SA"/>
        </w:rPr>
        <w:t>’</w:t>
      </w:r>
      <w:r w:rsidR="002E7FEC">
        <w:rPr>
          <w:iCs/>
          <w:lang w:eastAsia="ar-SA"/>
        </w:rPr>
        <w:t>,</w:t>
      </w:r>
      <w:r w:rsidR="00D6388C">
        <w:rPr>
          <w:iCs/>
          <w:lang w:eastAsia="ar-SA"/>
        </w:rPr>
        <w:t xml:space="preserve"> de </w:t>
      </w:r>
      <w:r w:rsidR="003F46FA">
        <w:rPr>
          <w:iCs/>
          <w:lang w:eastAsia="ar-SA"/>
        </w:rPr>
        <w:t xml:space="preserve">hoogste van de vijf </w:t>
      </w:r>
      <w:r w:rsidR="00D6388C">
        <w:rPr>
          <w:iCs/>
          <w:lang w:eastAsia="ar-SA"/>
        </w:rPr>
        <w:t>categorieën</w:t>
      </w:r>
      <w:r w:rsidR="003F46FA">
        <w:rPr>
          <w:iCs/>
          <w:lang w:eastAsia="ar-SA"/>
        </w:rPr>
        <w:t xml:space="preserve">. </w:t>
      </w:r>
      <w:r w:rsidR="003961AA">
        <w:rPr>
          <w:iCs/>
          <w:lang w:eastAsia="ar-SA"/>
        </w:rPr>
        <w:t>Hoewel de Bank in 2014 in relatieve zin beter scoorde met een vijfde plaats, is de Bank er in absolute zin wel op vooruitgegaan</w:t>
      </w:r>
      <w:r w:rsidR="003F46FA">
        <w:rPr>
          <w:iCs/>
          <w:lang w:eastAsia="ar-SA"/>
        </w:rPr>
        <w:t xml:space="preserve"> met een hogere totaalscore in 2016 dan in 2014</w:t>
      </w:r>
      <w:r w:rsidR="003961AA">
        <w:rPr>
          <w:iCs/>
          <w:lang w:eastAsia="ar-SA"/>
        </w:rPr>
        <w:t xml:space="preserve">. </w:t>
      </w:r>
      <w:r w:rsidR="00381F92">
        <w:rPr>
          <w:iCs/>
          <w:lang w:eastAsia="ar-SA"/>
        </w:rPr>
        <w:t xml:space="preserve">De Bank werkt </w:t>
      </w:r>
      <w:r w:rsidR="00D6388C">
        <w:rPr>
          <w:iCs/>
          <w:lang w:eastAsia="ar-SA"/>
        </w:rPr>
        <w:t>proactief</w:t>
      </w:r>
      <w:r w:rsidR="00381F92">
        <w:rPr>
          <w:iCs/>
          <w:lang w:eastAsia="ar-SA"/>
        </w:rPr>
        <w:t xml:space="preserve"> aan het toevoegen van documenten op haar website, zoals (landen)</w:t>
      </w:r>
      <w:r w:rsidR="00D6388C">
        <w:rPr>
          <w:iCs/>
          <w:lang w:eastAsia="ar-SA"/>
        </w:rPr>
        <w:t>strategieën</w:t>
      </w:r>
      <w:r w:rsidR="00381F92">
        <w:rPr>
          <w:iCs/>
          <w:lang w:eastAsia="ar-SA"/>
        </w:rPr>
        <w:t>, beleidsdocumenten, programmadocumenten en evaluaties</w:t>
      </w:r>
      <w:r w:rsidR="00283C64">
        <w:rPr>
          <w:iCs/>
          <w:lang w:eastAsia="ar-SA"/>
        </w:rPr>
        <w:t>.</w:t>
      </w:r>
      <w:r w:rsidR="00381F92">
        <w:rPr>
          <w:iCs/>
          <w:lang w:eastAsia="ar-SA"/>
        </w:rPr>
        <w:t xml:space="preserve"> </w:t>
      </w:r>
      <w:r w:rsidR="00C85F26">
        <w:rPr>
          <w:iCs/>
          <w:lang w:eastAsia="ar-SA"/>
        </w:rPr>
        <w:t xml:space="preserve">De </w:t>
      </w:r>
      <w:r w:rsidR="00381F92">
        <w:rPr>
          <w:iCs/>
          <w:lang w:eastAsia="ar-SA"/>
        </w:rPr>
        <w:t>Bank</w:t>
      </w:r>
      <w:r w:rsidR="00C85F26">
        <w:rPr>
          <w:iCs/>
          <w:lang w:eastAsia="ar-SA"/>
        </w:rPr>
        <w:t xml:space="preserve"> is aangesloten bij de </w:t>
      </w:r>
      <w:r w:rsidR="00C85F26">
        <w:rPr>
          <w:i/>
          <w:iCs/>
          <w:lang w:eastAsia="ar-SA"/>
        </w:rPr>
        <w:t>International Aid Transparency Initiative</w:t>
      </w:r>
      <w:r w:rsidR="00C85F26">
        <w:rPr>
          <w:iCs/>
          <w:lang w:eastAsia="ar-SA"/>
        </w:rPr>
        <w:t xml:space="preserve"> (IATI) en publiceert</w:t>
      </w:r>
      <w:r w:rsidR="003961AA">
        <w:rPr>
          <w:iCs/>
          <w:lang w:eastAsia="ar-SA"/>
        </w:rPr>
        <w:t xml:space="preserve"> – in lijn met de IATI-standaarden –</w:t>
      </w:r>
      <w:r w:rsidR="003F46FA">
        <w:rPr>
          <w:iCs/>
          <w:lang w:eastAsia="ar-SA"/>
        </w:rPr>
        <w:t xml:space="preserve"> jaarlijks haar werkplan en begrotin</w:t>
      </w:r>
      <w:r w:rsidR="002B1CB1">
        <w:rPr>
          <w:iCs/>
          <w:lang w:eastAsia="ar-SA"/>
        </w:rPr>
        <w:t>g.</w:t>
      </w:r>
    </w:p>
    <w:p w14:paraId="6B3A890B" w14:textId="77777777" w:rsidR="00E20A86" w:rsidRDefault="00E20A86"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E20A86" w:rsidRPr="00EA0AA8" w14:paraId="6B3A890E" w14:textId="77777777" w:rsidTr="00B06CE6">
        <w:tc>
          <w:tcPr>
            <w:tcW w:w="6912" w:type="dxa"/>
            <w:tcBorders>
              <w:top w:val="single" w:sz="12" w:space="0" w:color="auto"/>
              <w:left w:val="single" w:sz="12" w:space="0" w:color="auto"/>
              <w:bottom w:val="single" w:sz="12" w:space="0" w:color="auto"/>
            </w:tcBorders>
            <w:shd w:val="clear" w:color="auto" w:fill="D0CECE"/>
          </w:tcPr>
          <w:p w14:paraId="6B3A890C" w14:textId="77777777" w:rsidR="00E20A86" w:rsidRPr="00EA0AA8" w:rsidRDefault="00E20A86"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B3A890D" w14:textId="77777777" w:rsidR="00E20A86" w:rsidRPr="00EA0AA8" w:rsidRDefault="00E20A86" w:rsidP="00382AE3">
            <w:pPr>
              <w:rPr>
                <w:b/>
              </w:rPr>
            </w:pPr>
            <w:r w:rsidRPr="00EA0AA8">
              <w:rPr>
                <w:b/>
              </w:rPr>
              <w:t>Score</w:t>
            </w:r>
          </w:p>
        </w:tc>
      </w:tr>
      <w:tr w:rsidR="00E20A86" w14:paraId="6B3A8911" w14:textId="77777777" w:rsidTr="00382AE3">
        <w:tc>
          <w:tcPr>
            <w:tcW w:w="6912" w:type="dxa"/>
            <w:tcBorders>
              <w:top w:val="single" w:sz="12" w:space="0" w:color="auto"/>
              <w:left w:val="single" w:sz="12" w:space="0" w:color="auto"/>
            </w:tcBorders>
            <w:shd w:val="clear" w:color="auto" w:fill="auto"/>
          </w:tcPr>
          <w:p w14:paraId="6B3A890F" w14:textId="77777777" w:rsidR="00E20A86" w:rsidRDefault="00E20A86" w:rsidP="00382AE3">
            <w:r>
              <w:t>RBM en RBB</w:t>
            </w:r>
          </w:p>
        </w:tc>
        <w:tc>
          <w:tcPr>
            <w:tcW w:w="955" w:type="dxa"/>
            <w:tcBorders>
              <w:top w:val="single" w:sz="12" w:space="0" w:color="auto"/>
              <w:right w:val="single" w:sz="12" w:space="0" w:color="auto"/>
            </w:tcBorders>
            <w:shd w:val="clear" w:color="auto" w:fill="auto"/>
          </w:tcPr>
          <w:p w14:paraId="6B3A8910" w14:textId="77777777" w:rsidR="00E20A86" w:rsidRDefault="00A045AE" w:rsidP="00382AE3">
            <w:r>
              <w:t>3</w:t>
            </w:r>
          </w:p>
        </w:tc>
      </w:tr>
      <w:tr w:rsidR="00E20A86" w14:paraId="6B3A8914" w14:textId="77777777" w:rsidTr="00382AE3">
        <w:tc>
          <w:tcPr>
            <w:tcW w:w="6912" w:type="dxa"/>
            <w:tcBorders>
              <w:left w:val="single" w:sz="12" w:space="0" w:color="auto"/>
            </w:tcBorders>
            <w:shd w:val="clear" w:color="auto" w:fill="auto"/>
          </w:tcPr>
          <w:p w14:paraId="6B3A8912" w14:textId="77777777" w:rsidR="00E20A86" w:rsidRDefault="00E20A86" w:rsidP="00382AE3">
            <w:r>
              <w:t>Inzichtelijk maken resultaten</w:t>
            </w:r>
          </w:p>
        </w:tc>
        <w:tc>
          <w:tcPr>
            <w:tcW w:w="955" w:type="dxa"/>
            <w:tcBorders>
              <w:right w:val="single" w:sz="12" w:space="0" w:color="auto"/>
            </w:tcBorders>
            <w:shd w:val="clear" w:color="auto" w:fill="auto"/>
          </w:tcPr>
          <w:p w14:paraId="6B3A8913" w14:textId="77777777" w:rsidR="00E20A86" w:rsidRDefault="00281C7A" w:rsidP="00382AE3">
            <w:r>
              <w:t>4</w:t>
            </w:r>
          </w:p>
        </w:tc>
      </w:tr>
      <w:tr w:rsidR="00E20A86" w14:paraId="6B3A8917" w14:textId="77777777" w:rsidTr="00382AE3">
        <w:tc>
          <w:tcPr>
            <w:tcW w:w="6912" w:type="dxa"/>
            <w:tcBorders>
              <w:left w:val="single" w:sz="12" w:space="0" w:color="auto"/>
            </w:tcBorders>
            <w:shd w:val="clear" w:color="auto" w:fill="auto"/>
          </w:tcPr>
          <w:p w14:paraId="6B3A8915" w14:textId="77777777" w:rsidR="00E20A86" w:rsidRDefault="00E20A86" w:rsidP="00382AE3">
            <w:r>
              <w:t>Inzichtelijk maken allocatie van middelen (o.a. IATI)</w:t>
            </w:r>
          </w:p>
        </w:tc>
        <w:tc>
          <w:tcPr>
            <w:tcW w:w="955" w:type="dxa"/>
            <w:tcBorders>
              <w:right w:val="single" w:sz="12" w:space="0" w:color="auto"/>
            </w:tcBorders>
            <w:shd w:val="clear" w:color="auto" w:fill="auto"/>
          </w:tcPr>
          <w:p w14:paraId="6B3A8916" w14:textId="77777777" w:rsidR="00E20A86" w:rsidRDefault="009C5250" w:rsidP="00382AE3">
            <w:r>
              <w:t>4</w:t>
            </w:r>
          </w:p>
        </w:tc>
      </w:tr>
      <w:tr w:rsidR="00E20A86" w14:paraId="6B3A891A" w14:textId="77777777" w:rsidTr="00382AE3">
        <w:tc>
          <w:tcPr>
            <w:tcW w:w="6912" w:type="dxa"/>
            <w:tcBorders>
              <w:left w:val="single" w:sz="12" w:space="0" w:color="auto"/>
              <w:bottom w:val="single" w:sz="12" w:space="0" w:color="auto"/>
            </w:tcBorders>
            <w:shd w:val="clear" w:color="auto" w:fill="auto"/>
          </w:tcPr>
          <w:p w14:paraId="6B3A8918" w14:textId="77777777" w:rsidR="00E20A86" w:rsidRDefault="00E20A86" w:rsidP="00382AE3">
            <w:r>
              <w:t>Communicatie over resultaten</w:t>
            </w:r>
          </w:p>
        </w:tc>
        <w:tc>
          <w:tcPr>
            <w:tcW w:w="955" w:type="dxa"/>
            <w:tcBorders>
              <w:bottom w:val="single" w:sz="12" w:space="0" w:color="auto"/>
              <w:right w:val="single" w:sz="12" w:space="0" w:color="auto"/>
            </w:tcBorders>
            <w:shd w:val="clear" w:color="auto" w:fill="auto"/>
          </w:tcPr>
          <w:p w14:paraId="6B3A8919" w14:textId="77777777" w:rsidR="00E20A86" w:rsidRDefault="00BE39BB" w:rsidP="00382AE3">
            <w:r>
              <w:t>4</w:t>
            </w:r>
          </w:p>
        </w:tc>
      </w:tr>
      <w:tr w:rsidR="00E20A86" w:rsidRPr="00EA0AA8" w14:paraId="6B3A891D" w14:textId="77777777" w:rsidTr="00B06CE6">
        <w:tc>
          <w:tcPr>
            <w:tcW w:w="6912" w:type="dxa"/>
            <w:tcBorders>
              <w:top w:val="single" w:sz="12" w:space="0" w:color="auto"/>
              <w:left w:val="single" w:sz="12" w:space="0" w:color="auto"/>
              <w:bottom w:val="single" w:sz="12" w:space="0" w:color="auto"/>
            </w:tcBorders>
            <w:shd w:val="clear" w:color="auto" w:fill="D0CECE"/>
          </w:tcPr>
          <w:p w14:paraId="6B3A891B" w14:textId="77777777" w:rsidR="00E20A86" w:rsidRPr="00EA0AA8" w:rsidRDefault="00E20A86"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3A891C" w14:textId="77777777" w:rsidR="00E20A86" w:rsidRPr="00EA0AA8" w:rsidRDefault="00BE39BB" w:rsidP="00382AE3">
            <w:pPr>
              <w:rPr>
                <w:b/>
              </w:rPr>
            </w:pPr>
            <w:r>
              <w:rPr>
                <w:b/>
              </w:rPr>
              <w:t>4</w:t>
            </w:r>
          </w:p>
        </w:tc>
      </w:tr>
    </w:tbl>
    <w:p w14:paraId="6B3A891E" w14:textId="77777777" w:rsidR="00E62286" w:rsidRDefault="00E62286" w:rsidP="00E62286">
      <w:pPr>
        <w:rPr>
          <w:b/>
        </w:rPr>
      </w:pPr>
    </w:p>
    <w:p w14:paraId="6B3A891F" w14:textId="73880CE8" w:rsidR="00EA26EF" w:rsidRDefault="00687998" w:rsidP="00491FFC">
      <w:pPr>
        <w:ind w:firstLine="227"/>
      </w:pPr>
      <w:r w:rsidRPr="00193994">
        <w:t>Ver</w:t>
      </w:r>
      <w:r>
        <w:t>andering sinds 2015</w:t>
      </w:r>
      <w:r w:rsidR="003412ED">
        <w:t>: neutraal</w:t>
      </w:r>
      <w:r w:rsidR="003412ED" w:rsidRPr="00193994">
        <w:t xml:space="preserve"> = </w:t>
      </w:r>
      <w:r w:rsidR="003412ED" w:rsidRPr="00193994">
        <w:sym w:font="Wingdings" w:char="F0E8"/>
      </w:r>
    </w:p>
    <w:p w14:paraId="45640728" w14:textId="77777777" w:rsidR="00514A54" w:rsidRPr="009720A7" w:rsidRDefault="00514A54" w:rsidP="00491FFC">
      <w:pPr>
        <w:ind w:firstLine="227"/>
        <w:rPr>
          <w:b/>
        </w:rPr>
      </w:pPr>
    </w:p>
    <w:p w14:paraId="6B3A8920" w14:textId="16EB033E" w:rsidR="00300D9E" w:rsidRPr="0091776E" w:rsidRDefault="00812355" w:rsidP="00A13499">
      <w:pPr>
        <w:pStyle w:val="Heading2"/>
        <w:numPr>
          <w:ilvl w:val="1"/>
          <w:numId w:val="44"/>
        </w:numPr>
        <w:tabs>
          <w:tab w:val="left" w:pos="-1162"/>
          <w:tab w:val="left" w:pos="0"/>
        </w:tabs>
        <w:spacing w:line="240" w:lineRule="auto"/>
        <w:rPr>
          <w:lang w:val="en-US"/>
        </w:rPr>
      </w:pPr>
      <w:r>
        <w:rPr>
          <w:lang w:val="en-US"/>
        </w:rPr>
        <w:t xml:space="preserve">       </w:t>
      </w:r>
      <w:bookmarkStart w:id="32" w:name="_Toc491437347"/>
      <w:r w:rsidR="00F366F4" w:rsidRPr="00A13499">
        <w:t>Partnerschappen</w:t>
      </w:r>
      <w:r w:rsidR="00422948">
        <w:t xml:space="preserve"> en samenwerking</w:t>
      </w:r>
      <w:bookmarkEnd w:id="32"/>
    </w:p>
    <w:p w14:paraId="6B3A8921" w14:textId="77777777" w:rsidR="008555BB" w:rsidRPr="0094007A" w:rsidRDefault="00704832" w:rsidP="00C03ED6">
      <w:r w:rsidRPr="00704832">
        <w:t xml:space="preserve">Partnerschappen vormen een van de vijf drivers of change in Strategy 2020. In lijn met de aanbeveling uit de </w:t>
      </w:r>
      <w:r w:rsidRPr="00704832">
        <w:rPr>
          <w:i/>
        </w:rPr>
        <w:t>Mid Term Review</w:t>
      </w:r>
      <w:r w:rsidRPr="00704832">
        <w:t xml:space="preserve"> van </w:t>
      </w:r>
      <w:r w:rsidRPr="00704832">
        <w:rPr>
          <w:i/>
        </w:rPr>
        <w:t>Strategy 2020</w:t>
      </w:r>
      <w:r w:rsidRPr="00704832">
        <w:t xml:space="preserve">, afgerond in 2014, heeft de Bank partnerschappen tot </w:t>
      </w:r>
      <w:r>
        <w:t>strategische prioriteit gemaakt</w:t>
      </w:r>
      <w:r w:rsidRPr="00704832">
        <w:t>.</w:t>
      </w:r>
      <w:r>
        <w:t xml:space="preserve"> </w:t>
      </w:r>
      <w:r w:rsidR="00DC6739">
        <w:t xml:space="preserve">De AsDB heeft </w:t>
      </w:r>
      <w:r w:rsidR="00C02AF8">
        <w:t>partnerschappen</w:t>
      </w:r>
      <w:r w:rsidR="00DC6739">
        <w:t xml:space="preserve"> </w:t>
      </w:r>
      <w:r w:rsidR="00995A01">
        <w:t xml:space="preserve">met </w:t>
      </w:r>
      <w:r w:rsidR="00DC6739">
        <w:t>multilaterale organisaties, overhed</w:t>
      </w:r>
      <w:r w:rsidR="00ED0BF6">
        <w:t>en, kennisinstellingen, NGO</w:t>
      </w:r>
      <w:r w:rsidR="00DC6739">
        <w:t>s en bedrijven.</w:t>
      </w:r>
      <w:r w:rsidR="00C03ED6">
        <w:t xml:space="preserve"> </w:t>
      </w:r>
      <w:r w:rsidR="0094007A" w:rsidRPr="0094007A">
        <w:t>In de peri</w:t>
      </w:r>
      <w:r w:rsidR="00050E7F">
        <w:t>ode van 2000 tot half 2015 had</w:t>
      </w:r>
      <w:r w:rsidR="0094007A" w:rsidRPr="0094007A">
        <w:t xml:space="preserve"> de Bank 422 partnerschappen opgezet.</w:t>
      </w:r>
      <w:r w:rsidR="0094007A">
        <w:t xml:space="preserve"> </w:t>
      </w:r>
      <w:r w:rsidR="0094007A" w:rsidRPr="0094007A">
        <w:t>Hiervan waren er 287 (of 68%) formeel</w:t>
      </w:r>
      <w:r w:rsidR="008555BB" w:rsidRPr="0094007A">
        <w:t>,</w:t>
      </w:r>
      <w:r w:rsidR="0094007A" w:rsidRPr="0094007A">
        <w:t xml:space="preserve"> </w:t>
      </w:r>
      <w:r w:rsidR="00050E7F">
        <w:t xml:space="preserve">dat wil zeggen </w:t>
      </w:r>
      <w:r w:rsidR="0094007A" w:rsidRPr="0094007A">
        <w:t xml:space="preserve">vastgelegd via een </w:t>
      </w:r>
      <w:r w:rsidR="008555BB" w:rsidRPr="0094007A">
        <w:rPr>
          <w:i/>
        </w:rPr>
        <w:t>memorandum of understanding</w:t>
      </w:r>
      <w:r w:rsidR="008555BB" w:rsidRPr="0094007A">
        <w:t xml:space="preserve"> (MOU), </w:t>
      </w:r>
      <w:r w:rsidR="008555BB" w:rsidRPr="0094007A">
        <w:rPr>
          <w:i/>
        </w:rPr>
        <w:t xml:space="preserve">letter of </w:t>
      </w:r>
      <w:r w:rsidR="008555BB" w:rsidRPr="00B93992">
        <w:rPr>
          <w:i/>
        </w:rPr>
        <w:t>inten</w:t>
      </w:r>
      <w:r w:rsidR="0094007A" w:rsidRPr="00703202">
        <w:rPr>
          <w:i/>
        </w:rPr>
        <w:t>t,</w:t>
      </w:r>
      <w:r w:rsidR="0094007A">
        <w:t xml:space="preserve"> financieringsovereenkomst of andere vorm van overeenkomst. </w:t>
      </w:r>
    </w:p>
    <w:p w14:paraId="6B3A8922" w14:textId="77777777" w:rsidR="008555BB" w:rsidRPr="0094007A" w:rsidRDefault="008555BB" w:rsidP="00C03ED6"/>
    <w:p w14:paraId="6B3A8923" w14:textId="77777777" w:rsidR="009207B2" w:rsidRDefault="00C03ED6" w:rsidP="00C03ED6">
      <w:r>
        <w:t>De AsDB heeft d</w:t>
      </w:r>
      <w:r w:rsidR="00995A01">
        <w:t xml:space="preserve">rie hoofdtypen partnerschappen: </w:t>
      </w:r>
    </w:p>
    <w:p w14:paraId="6B3A8924" w14:textId="6987AE97" w:rsidR="009207B2" w:rsidRDefault="009207B2" w:rsidP="009207B2">
      <w:pPr>
        <w:numPr>
          <w:ilvl w:val="0"/>
          <w:numId w:val="33"/>
        </w:numPr>
      </w:pPr>
      <w:r w:rsidRPr="00050E7F">
        <w:rPr>
          <w:i/>
        </w:rPr>
        <w:t>I</w:t>
      </w:r>
      <w:r w:rsidR="00995A01" w:rsidRPr="00050E7F">
        <w:rPr>
          <w:i/>
        </w:rPr>
        <w:t>nteragency</w:t>
      </w:r>
      <w:r w:rsidR="00995A01">
        <w:t xml:space="preserve"> </w:t>
      </w:r>
      <w:r w:rsidR="00ED0BF6">
        <w:t>coördinatie</w:t>
      </w:r>
      <w:r w:rsidR="00995A01">
        <w:t>partnerschappen</w:t>
      </w:r>
      <w:r>
        <w:t xml:space="preserve"> </w:t>
      </w:r>
      <w:r w:rsidR="00ED0BF6">
        <w:t>–</w:t>
      </w:r>
      <w:r>
        <w:t xml:space="preserve"> </w:t>
      </w:r>
      <w:r w:rsidR="00ED0BF6">
        <w:t>high-level betrekkingen met ontwikkelingspartners, die A</w:t>
      </w:r>
      <w:r w:rsidR="00DA601E">
        <w:t>s</w:t>
      </w:r>
      <w:r w:rsidR="00ED0BF6">
        <w:t>DB help</w:t>
      </w:r>
      <w:r w:rsidR="00AE4B61">
        <w:t>en</w:t>
      </w:r>
      <w:r w:rsidR="00ED0BF6">
        <w:t xml:space="preserve"> met imple</w:t>
      </w:r>
      <w:r w:rsidR="00C02AF8">
        <w:t>me</w:t>
      </w:r>
      <w:r w:rsidR="00ED0BF6">
        <w:t>ntatie van hun corporate strategie.</w:t>
      </w:r>
    </w:p>
    <w:p w14:paraId="6B3A8925" w14:textId="77777777" w:rsidR="009207B2" w:rsidRDefault="00ED0BF6" w:rsidP="009207B2">
      <w:pPr>
        <w:numPr>
          <w:ilvl w:val="0"/>
          <w:numId w:val="33"/>
        </w:numPr>
      </w:pPr>
      <w:r>
        <w:lastRenderedPageBreak/>
        <w:t>Kennispartnerschappen – operation</w:t>
      </w:r>
      <w:r w:rsidR="00134749">
        <w:t>e</w:t>
      </w:r>
      <w:r>
        <w:t xml:space="preserve">le </w:t>
      </w:r>
      <w:r w:rsidR="0044162F">
        <w:t xml:space="preserve">samenwerking </w:t>
      </w:r>
      <w:r>
        <w:t xml:space="preserve">voor het genereren of delen van kennis voor een specifieke sector of specifiek thema. </w:t>
      </w:r>
      <w:r w:rsidR="00995A01">
        <w:t xml:space="preserve"> </w:t>
      </w:r>
    </w:p>
    <w:p w14:paraId="6B3A8926" w14:textId="77777777" w:rsidR="00C03ED6" w:rsidRPr="00995A01" w:rsidRDefault="009207B2" w:rsidP="009207B2">
      <w:pPr>
        <w:numPr>
          <w:ilvl w:val="0"/>
          <w:numId w:val="33"/>
        </w:numPr>
      </w:pPr>
      <w:r>
        <w:t>F</w:t>
      </w:r>
      <w:r w:rsidR="00995A01">
        <w:t>inancierin</w:t>
      </w:r>
      <w:r>
        <w:t xml:space="preserve">gspartnerschappen – hieronder </w:t>
      </w:r>
      <w:r w:rsidR="00995A01">
        <w:t>vallen project-</w:t>
      </w:r>
      <w:r w:rsidR="00C02AF8">
        <w:t>specifieke</w:t>
      </w:r>
      <w:r w:rsidR="00995A01">
        <w:t xml:space="preserve"> </w:t>
      </w:r>
      <w:r w:rsidR="00C02AF8">
        <w:t>cofinanciering</w:t>
      </w:r>
      <w:r w:rsidR="00995A01">
        <w:t xml:space="preserve">, </w:t>
      </w:r>
      <w:r w:rsidR="0044162F">
        <w:t>raamwerk</w:t>
      </w:r>
      <w:r w:rsidR="00995A01">
        <w:t xml:space="preserve">overeenkomsten, trustfondsen en </w:t>
      </w:r>
      <w:r w:rsidR="00995A01">
        <w:rPr>
          <w:i/>
        </w:rPr>
        <w:t>financing partnership facilities.</w:t>
      </w:r>
      <w:r w:rsidR="00995A01">
        <w:t xml:space="preserve"> </w:t>
      </w:r>
      <w:r w:rsidR="00995A01">
        <w:rPr>
          <w:i/>
        </w:rPr>
        <w:t xml:space="preserve"> </w:t>
      </w:r>
    </w:p>
    <w:p w14:paraId="6B3A8927" w14:textId="77777777" w:rsidR="009207B2" w:rsidRDefault="009207B2" w:rsidP="003A469B"/>
    <w:p w14:paraId="6B3A8928" w14:textId="17175EF2" w:rsidR="00FE1E90" w:rsidRDefault="000B4695" w:rsidP="003A469B">
      <w:r>
        <w:t>P</w:t>
      </w:r>
      <w:r w:rsidR="0044162F">
        <w:t xml:space="preserve">artners </w:t>
      </w:r>
      <w:r>
        <w:t xml:space="preserve">zien </w:t>
      </w:r>
      <w:r w:rsidR="001A19FA">
        <w:t xml:space="preserve">de </w:t>
      </w:r>
      <w:r w:rsidR="00995A01">
        <w:t>A</w:t>
      </w:r>
      <w:r w:rsidR="001A19FA">
        <w:t>s</w:t>
      </w:r>
      <w:r w:rsidR="00C67C18">
        <w:t>DB als een partij met sterke capaciteit voor beleid</w:t>
      </w:r>
      <w:r w:rsidR="0095787D">
        <w:t xml:space="preserve">sdialoog, strategisch </w:t>
      </w:r>
      <w:r w:rsidR="00C02AF8">
        <w:t>management</w:t>
      </w:r>
      <w:r w:rsidR="0095787D">
        <w:t xml:space="preserve"> en </w:t>
      </w:r>
      <w:r w:rsidR="00E34376">
        <w:t>het bevorde</w:t>
      </w:r>
      <w:r w:rsidR="00C02AF8">
        <w:t>re</w:t>
      </w:r>
      <w:r w:rsidR="00E34376">
        <w:t>n van duurzame ontwikkeling. Partne</w:t>
      </w:r>
      <w:r w:rsidR="00BC558D">
        <w:t>r</w:t>
      </w:r>
      <w:r w:rsidR="00E34376">
        <w:t xml:space="preserve">s geven echter ook aan </w:t>
      </w:r>
      <w:r w:rsidR="001A19FA">
        <w:t xml:space="preserve">dat de </w:t>
      </w:r>
      <w:r w:rsidR="0044162F">
        <w:t xml:space="preserve">capaciteit </w:t>
      </w:r>
      <w:r w:rsidR="00466503">
        <w:t xml:space="preserve">van de Bank </w:t>
      </w:r>
      <w:r w:rsidR="0044162F">
        <w:t xml:space="preserve">voor projectsupervisie </w:t>
      </w:r>
      <w:r w:rsidR="00E34376">
        <w:t xml:space="preserve">soms </w:t>
      </w:r>
      <w:r w:rsidR="0044162F">
        <w:t>beter kan</w:t>
      </w:r>
      <w:r w:rsidR="003551AA">
        <w:t>, evenals haar flexibiliteit en snelheid</w:t>
      </w:r>
      <w:r w:rsidR="00995A01">
        <w:t>.</w:t>
      </w:r>
      <w:r w:rsidR="0044162F">
        <w:t xml:space="preserve"> </w:t>
      </w:r>
      <w:r w:rsidR="00005D4C">
        <w:t xml:space="preserve">In de </w:t>
      </w:r>
      <w:r w:rsidR="00005D4C">
        <w:rPr>
          <w:i/>
        </w:rPr>
        <w:t xml:space="preserve">Pacific </w:t>
      </w:r>
      <w:r w:rsidR="00005D4C">
        <w:t xml:space="preserve">zien partners de afwezigheid van internationale stafleden als een beperking. De Bank is echter bezig met het uitbreiden van het aantal </w:t>
      </w:r>
      <w:r w:rsidR="00050E7F">
        <w:t>medewerkers</w:t>
      </w:r>
      <w:r w:rsidR="00005D4C">
        <w:t xml:space="preserve"> in de</w:t>
      </w:r>
      <w:r w:rsidR="0095787D">
        <w:t>ze</w:t>
      </w:r>
      <w:r w:rsidR="00005D4C">
        <w:t xml:space="preserve"> regio. </w:t>
      </w:r>
    </w:p>
    <w:p w14:paraId="6B3A8929" w14:textId="77777777" w:rsidR="00322252" w:rsidRDefault="00322252" w:rsidP="003A469B"/>
    <w:p w14:paraId="6B3A892A" w14:textId="4EA15B82" w:rsidR="00DC6739" w:rsidRDefault="000B4695" w:rsidP="003A469B">
      <w:r>
        <w:t xml:space="preserve">Van de AsDB-partnerschappen is </w:t>
      </w:r>
      <w:r w:rsidR="00E34376">
        <w:t xml:space="preserve">zo’n </w:t>
      </w:r>
      <w:r>
        <w:t>75% effectief</w:t>
      </w:r>
      <w:r w:rsidR="00FE1E90">
        <w:t>, dat wil zeggen dat ze bijna</w:t>
      </w:r>
      <w:r w:rsidR="0092573B">
        <w:t xml:space="preserve"> geheel</w:t>
      </w:r>
      <w:r w:rsidR="00FE1E90">
        <w:t xml:space="preserve"> of geheel hun doelen bereiken</w:t>
      </w:r>
      <w:r>
        <w:t>. Dit percentage</w:t>
      </w:r>
      <w:r w:rsidR="00FE1E90">
        <w:t xml:space="preserve"> is vergelijkbaar voor </w:t>
      </w:r>
      <w:r w:rsidR="00915065">
        <w:t>coördinatie</w:t>
      </w:r>
      <w:r w:rsidR="00FE1E90">
        <w:t>-, kennis- en financieringspartnerschappen. Wel ligt het percentage duidelijk hoger voor formele partnerschappen (82%)</w:t>
      </w:r>
      <w:r>
        <w:t xml:space="preserve"> en </w:t>
      </w:r>
      <w:r w:rsidR="00FE1E90">
        <w:t xml:space="preserve">duidelijk </w:t>
      </w:r>
      <w:r>
        <w:t>lager voor informele partnerschappen</w:t>
      </w:r>
      <w:r w:rsidR="00FE1E90">
        <w:t xml:space="preserve"> (63%).</w:t>
      </w:r>
      <w:r w:rsidR="0092303A">
        <w:t xml:space="preserve"> </w:t>
      </w:r>
      <w:r w:rsidR="007914CD">
        <w:t xml:space="preserve"> </w:t>
      </w:r>
      <w:r w:rsidR="0044162F">
        <w:t xml:space="preserve">  </w:t>
      </w:r>
    </w:p>
    <w:p w14:paraId="6B3A892B" w14:textId="77777777" w:rsidR="00E34376" w:rsidRDefault="00E34376" w:rsidP="003A469B"/>
    <w:p w14:paraId="6B3A892C" w14:textId="2709B5C0" w:rsidR="008E22BC" w:rsidRDefault="00A47408" w:rsidP="008D16FD">
      <w:r>
        <w:t xml:space="preserve">De AsDB is een voorstander van </w:t>
      </w:r>
      <w:r w:rsidR="00915065">
        <w:t>coördinatie</w:t>
      </w:r>
      <w:r>
        <w:t>, kennisdeling en samenwerking zowel mondiaal, regionaal als nationaal met een breed netwerk van partners</w:t>
      </w:r>
      <w:r w:rsidR="00AE4B61">
        <w:t>.</w:t>
      </w:r>
      <w:r>
        <w:t xml:space="preserve"> Op sectorniveau werkt de Bank samen met sleutelpartners zoals de Wereldbank en andere internationale </w:t>
      </w:r>
      <w:r w:rsidR="00915065">
        <w:t>financiële</w:t>
      </w:r>
      <w:r>
        <w:t xml:space="preserve"> instellingen. De Bank ondersteunt regionale </w:t>
      </w:r>
      <w:r w:rsidR="00915065">
        <w:t>coördinatie</w:t>
      </w:r>
      <w:r>
        <w:t xml:space="preserve"> via verschillende platforms zoals </w:t>
      </w:r>
      <w:r>
        <w:rPr>
          <w:i/>
        </w:rPr>
        <w:t>Greater Mekon Sub-Region</w:t>
      </w:r>
      <w:r>
        <w:t xml:space="preserve">, </w:t>
      </w:r>
      <w:r>
        <w:rPr>
          <w:i/>
        </w:rPr>
        <w:t xml:space="preserve">Central Asia Regional Economic Cooperation </w:t>
      </w:r>
      <w:r>
        <w:t xml:space="preserve">en </w:t>
      </w:r>
      <w:r>
        <w:rPr>
          <w:i/>
        </w:rPr>
        <w:t xml:space="preserve">South Asia Sub-Regional Economic Cooperation. </w:t>
      </w:r>
      <w:r>
        <w:t xml:space="preserve">Er zijn echter geen onafhankelijke beoordelingen over de effectiviteit van deze samenwerkings- en </w:t>
      </w:r>
      <w:r w:rsidR="00915065">
        <w:t>coördinatie</w:t>
      </w:r>
      <w:r>
        <w:t>activiteiten.</w:t>
      </w:r>
      <w:r w:rsidR="00577ED4">
        <w:t xml:space="preserve"> Wel blijkt dat projecten die gecofinancierd zijn, succesvoller zijn dan projecten die dat niet zijn</w:t>
      </w:r>
      <w:r w:rsidR="00AE4B61">
        <w:t>.</w:t>
      </w:r>
    </w:p>
    <w:p w14:paraId="6B3A892D" w14:textId="77777777" w:rsidR="008E22BC" w:rsidRPr="00ED2F32" w:rsidRDefault="008E22BC" w:rsidP="00BD7AE6">
      <w:pPr>
        <w:ind w:left="-45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6B3A8930" w14:textId="77777777" w:rsidTr="00B06CE6">
        <w:tc>
          <w:tcPr>
            <w:tcW w:w="6912" w:type="dxa"/>
            <w:tcBorders>
              <w:top w:val="single" w:sz="12" w:space="0" w:color="auto"/>
              <w:left w:val="single" w:sz="12" w:space="0" w:color="auto"/>
              <w:bottom w:val="single" w:sz="12" w:space="0" w:color="auto"/>
            </w:tcBorders>
            <w:shd w:val="clear" w:color="auto" w:fill="D0CECE"/>
          </w:tcPr>
          <w:p w14:paraId="6B3A892E"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B3A892F" w14:textId="77777777" w:rsidR="002A310E" w:rsidRPr="00EA0AA8" w:rsidRDefault="002A310E" w:rsidP="00382AE3">
            <w:pPr>
              <w:rPr>
                <w:b/>
              </w:rPr>
            </w:pPr>
            <w:r w:rsidRPr="00EA0AA8">
              <w:rPr>
                <w:b/>
              </w:rPr>
              <w:t>Score</w:t>
            </w:r>
          </w:p>
        </w:tc>
      </w:tr>
      <w:tr w:rsidR="002A310E" w14:paraId="6B3A8933" w14:textId="77777777" w:rsidTr="00382AE3">
        <w:tc>
          <w:tcPr>
            <w:tcW w:w="6912" w:type="dxa"/>
            <w:tcBorders>
              <w:top w:val="single" w:sz="12" w:space="0" w:color="auto"/>
              <w:left w:val="single" w:sz="12" w:space="0" w:color="auto"/>
            </w:tcBorders>
            <w:shd w:val="clear" w:color="auto" w:fill="auto"/>
          </w:tcPr>
          <w:p w14:paraId="6B3A8931" w14:textId="77777777" w:rsidR="002A310E" w:rsidRDefault="00CD7B6F" w:rsidP="00382AE3">
            <w:r>
              <w:t>Partnerschappen met andere organisaties</w:t>
            </w:r>
          </w:p>
        </w:tc>
        <w:tc>
          <w:tcPr>
            <w:tcW w:w="955" w:type="dxa"/>
            <w:tcBorders>
              <w:top w:val="single" w:sz="12" w:space="0" w:color="auto"/>
              <w:right w:val="single" w:sz="12" w:space="0" w:color="auto"/>
            </w:tcBorders>
            <w:shd w:val="clear" w:color="auto" w:fill="auto"/>
          </w:tcPr>
          <w:p w14:paraId="6B3A8932" w14:textId="77777777" w:rsidR="002A310E" w:rsidRDefault="0044162F" w:rsidP="00382AE3">
            <w:r>
              <w:t>3</w:t>
            </w:r>
          </w:p>
        </w:tc>
      </w:tr>
      <w:tr w:rsidR="002A310E" w14:paraId="6B3A8936" w14:textId="77777777" w:rsidTr="00382AE3">
        <w:tc>
          <w:tcPr>
            <w:tcW w:w="6912" w:type="dxa"/>
            <w:tcBorders>
              <w:left w:val="single" w:sz="12" w:space="0" w:color="auto"/>
            </w:tcBorders>
            <w:shd w:val="clear" w:color="auto" w:fill="auto"/>
          </w:tcPr>
          <w:p w14:paraId="6B3A8934" w14:textId="77777777" w:rsidR="002A310E" w:rsidRDefault="00CD7B6F" w:rsidP="00382AE3">
            <w:r>
              <w:t>Visie en rol partnerschappen</w:t>
            </w:r>
          </w:p>
        </w:tc>
        <w:tc>
          <w:tcPr>
            <w:tcW w:w="955" w:type="dxa"/>
            <w:tcBorders>
              <w:right w:val="single" w:sz="12" w:space="0" w:color="auto"/>
            </w:tcBorders>
            <w:shd w:val="clear" w:color="auto" w:fill="auto"/>
          </w:tcPr>
          <w:p w14:paraId="6B3A8935" w14:textId="77777777" w:rsidR="002A310E" w:rsidRDefault="003551AA" w:rsidP="00382AE3">
            <w:r>
              <w:t>3</w:t>
            </w:r>
          </w:p>
        </w:tc>
      </w:tr>
      <w:tr w:rsidR="002A310E" w14:paraId="6B3A8939" w14:textId="77777777" w:rsidTr="00382AE3">
        <w:tc>
          <w:tcPr>
            <w:tcW w:w="6912" w:type="dxa"/>
            <w:tcBorders>
              <w:left w:val="single" w:sz="12" w:space="0" w:color="auto"/>
            </w:tcBorders>
            <w:shd w:val="clear" w:color="auto" w:fill="auto"/>
          </w:tcPr>
          <w:p w14:paraId="6B3A8937" w14:textId="77777777" w:rsidR="002A310E" w:rsidRDefault="00CD7B6F" w:rsidP="00C447C0">
            <w:r>
              <w:t>Aanslu</w:t>
            </w:r>
            <w:r w:rsidR="00C447C0">
              <w:t>iting partnerschappen met andere actoren</w:t>
            </w:r>
          </w:p>
        </w:tc>
        <w:tc>
          <w:tcPr>
            <w:tcW w:w="955" w:type="dxa"/>
            <w:tcBorders>
              <w:right w:val="single" w:sz="12" w:space="0" w:color="auto"/>
            </w:tcBorders>
            <w:shd w:val="clear" w:color="auto" w:fill="auto"/>
          </w:tcPr>
          <w:p w14:paraId="6B3A8938" w14:textId="77777777" w:rsidR="002A310E" w:rsidRDefault="003551AA" w:rsidP="00382AE3">
            <w:r>
              <w:t>3</w:t>
            </w:r>
          </w:p>
        </w:tc>
      </w:tr>
      <w:tr w:rsidR="00422948" w14:paraId="6B3A893C" w14:textId="77777777" w:rsidTr="00382AE3">
        <w:tc>
          <w:tcPr>
            <w:tcW w:w="6912" w:type="dxa"/>
            <w:tcBorders>
              <w:left w:val="single" w:sz="12" w:space="0" w:color="auto"/>
            </w:tcBorders>
            <w:shd w:val="clear" w:color="auto" w:fill="auto"/>
          </w:tcPr>
          <w:p w14:paraId="6B3A893A" w14:textId="77777777" w:rsidR="00422948" w:rsidRDefault="00072371" w:rsidP="00C447C0">
            <w:r>
              <w:t>Samenwerking en coördinatie overige actoren</w:t>
            </w:r>
          </w:p>
        </w:tc>
        <w:tc>
          <w:tcPr>
            <w:tcW w:w="955" w:type="dxa"/>
            <w:tcBorders>
              <w:right w:val="single" w:sz="12" w:space="0" w:color="auto"/>
            </w:tcBorders>
            <w:shd w:val="clear" w:color="auto" w:fill="auto"/>
          </w:tcPr>
          <w:p w14:paraId="6B3A893B" w14:textId="77777777" w:rsidR="00422948" w:rsidRDefault="003551AA" w:rsidP="00382AE3">
            <w:r>
              <w:t>3</w:t>
            </w:r>
          </w:p>
        </w:tc>
      </w:tr>
      <w:tr w:rsidR="002A310E" w:rsidRPr="00EA0AA8" w14:paraId="6B3A893F" w14:textId="77777777" w:rsidTr="00B06CE6">
        <w:tc>
          <w:tcPr>
            <w:tcW w:w="6912" w:type="dxa"/>
            <w:tcBorders>
              <w:top w:val="single" w:sz="12" w:space="0" w:color="auto"/>
              <w:left w:val="single" w:sz="12" w:space="0" w:color="auto"/>
              <w:bottom w:val="single" w:sz="12" w:space="0" w:color="auto"/>
            </w:tcBorders>
            <w:shd w:val="clear" w:color="auto" w:fill="D0CECE"/>
          </w:tcPr>
          <w:p w14:paraId="6B3A893D"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3A893E" w14:textId="77777777" w:rsidR="002A310E" w:rsidRPr="00EA0AA8" w:rsidRDefault="00A90454" w:rsidP="00382AE3">
            <w:pPr>
              <w:rPr>
                <w:b/>
              </w:rPr>
            </w:pPr>
            <w:r>
              <w:rPr>
                <w:b/>
              </w:rPr>
              <w:t>3</w:t>
            </w:r>
          </w:p>
        </w:tc>
      </w:tr>
    </w:tbl>
    <w:p w14:paraId="6B3A8940" w14:textId="77777777" w:rsidR="00B54564" w:rsidRDefault="00B54564" w:rsidP="003412ED"/>
    <w:p w14:paraId="6B3A8941" w14:textId="1BA6F04A" w:rsidR="00687998" w:rsidRDefault="00687998" w:rsidP="00491FFC">
      <w:pPr>
        <w:ind w:firstLine="227"/>
      </w:pPr>
      <w:r w:rsidRPr="00193994">
        <w:t>Ver</w:t>
      </w:r>
      <w:r>
        <w:t>andering sinds 2015: positief</w:t>
      </w:r>
      <w:r w:rsidR="00AF4978">
        <w:t xml:space="preserve"> =</w:t>
      </w:r>
      <w:r w:rsidRPr="00193994">
        <w:t xml:space="preserve"> </w:t>
      </w:r>
      <w:r w:rsidRPr="00193994">
        <w:sym w:font="Wingdings" w:char="F0E9"/>
      </w:r>
    </w:p>
    <w:p w14:paraId="6E5CF5B6" w14:textId="77777777" w:rsidR="00514A54" w:rsidRDefault="00514A54" w:rsidP="00491FFC">
      <w:pPr>
        <w:ind w:firstLine="227"/>
        <w:rPr>
          <w:b/>
        </w:rPr>
      </w:pPr>
    </w:p>
    <w:p w14:paraId="6B3A8942" w14:textId="70BE892E" w:rsidR="00887E4D" w:rsidRPr="00887E4D" w:rsidRDefault="00812355" w:rsidP="0091776E">
      <w:pPr>
        <w:pStyle w:val="Heading2"/>
        <w:numPr>
          <w:ilvl w:val="1"/>
          <w:numId w:val="44"/>
        </w:numPr>
        <w:tabs>
          <w:tab w:val="left" w:pos="-1162"/>
          <w:tab w:val="left" w:pos="0"/>
        </w:tabs>
        <w:spacing w:line="240" w:lineRule="auto"/>
      </w:pPr>
      <w:bookmarkStart w:id="33" w:name="_Toc410140903"/>
      <w:r>
        <w:rPr>
          <w:lang w:val="en-US"/>
        </w:rPr>
        <w:t xml:space="preserve">       </w:t>
      </w:r>
      <w:bookmarkStart w:id="34" w:name="_Toc491437348"/>
      <w:r w:rsidR="00CD7B6F">
        <w:t>Operationeel management</w:t>
      </w:r>
      <w:bookmarkEnd w:id="33"/>
      <w:bookmarkEnd w:id="34"/>
    </w:p>
    <w:p w14:paraId="6B3A8943" w14:textId="13682047" w:rsidR="00C2582A" w:rsidRPr="00EC7EEF" w:rsidRDefault="00EC7EEF" w:rsidP="005532E7">
      <w:pPr>
        <w:rPr>
          <w:szCs w:val="22"/>
          <w:lang w:eastAsia="ar-SA"/>
        </w:rPr>
      </w:pPr>
      <w:r>
        <w:rPr>
          <w:szCs w:val="22"/>
          <w:lang w:eastAsia="ar-SA"/>
        </w:rPr>
        <w:t xml:space="preserve">De </w:t>
      </w:r>
      <w:r w:rsidR="00D646B5">
        <w:rPr>
          <w:szCs w:val="22"/>
          <w:lang w:eastAsia="ar-SA"/>
        </w:rPr>
        <w:t>A</w:t>
      </w:r>
      <w:r w:rsidR="00C2582A">
        <w:rPr>
          <w:szCs w:val="22"/>
          <w:lang w:eastAsia="ar-SA"/>
        </w:rPr>
        <w:t>s</w:t>
      </w:r>
      <w:r w:rsidR="00D646B5">
        <w:rPr>
          <w:szCs w:val="22"/>
          <w:lang w:eastAsia="ar-SA"/>
        </w:rPr>
        <w:t xml:space="preserve">DB monitort jaarlijks 30 indicatoren op het gebied van operationeel management in het </w:t>
      </w:r>
      <w:r w:rsidR="00D646B5">
        <w:rPr>
          <w:i/>
          <w:szCs w:val="22"/>
          <w:lang w:eastAsia="ar-SA"/>
        </w:rPr>
        <w:t>Development Ef</w:t>
      </w:r>
      <w:r w:rsidR="00466503">
        <w:rPr>
          <w:i/>
          <w:szCs w:val="22"/>
          <w:lang w:eastAsia="ar-SA"/>
        </w:rPr>
        <w:t>f</w:t>
      </w:r>
      <w:r w:rsidR="00D646B5">
        <w:rPr>
          <w:i/>
          <w:szCs w:val="22"/>
          <w:lang w:eastAsia="ar-SA"/>
        </w:rPr>
        <w:t>ectiveness Review.</w:t>
      </w:r>
      <w:r>
        <w:rPr>
          <w:szCs w:val="22"/>
          <w:lang w:eastAsia="ar-SA"/>
        </w:rPr>
        <w:t xml:space="preserve"> </w:t>
      </w:r>
      <w:r w:rsidR="00FE00C7">
        <w:t xml:space="preserve">Uit deze evaluatie blijkt </w:t>
      </w:r>
      <w:r>
        <w:t xml:space="preserve">dat bij 85% van de activiteiten voor </w:t>
      </w:r>
      <w:r w:rsidR="00FE00C7">
        <w:t xml:space="preserve">overheden </w:t>
      </w:r>
      <w:r>
        <w:t xml:space="preserve">en bij 99% van de </w:t>
      </w:r>
      <w:r w:rsidR="00887E4D">
        <w:t>private sectoractiviteiten</w:t>
      </w:r>
      <w:r>
        <w:t xml:space="preserve"> het operat</w:t>
      </w:r>
      <w:r w:rsidR="00B61816">
        <w:t>ioneel management als goed worden</w:t>
      </w:r>
      <w:r>
        <w:t xml:space="preserve"> </w:t>
      </w:r>
      <w:r w:rsidRPr="004066F3">
        <w:t>ervaren</w:t>
      </w:r>
      <w:r w:rsidR="003D1046">
        <w:t xml:space="preserve">. </w:t>
      </w:r>
      <w:r w:rsidR="00FE00C7" w:rsidRPr="004066F3">
        <w:t>Een van de belangrijks</w:t>
      </w:r>
      <w:r w:rsidR="00887E4D" w:rsidRPr="004066F3">
        <w:t>t</w:t>
      </w:r>
      <w:r w:rsidR="00FE00C7" w:rsidRPr="004066F3">
        <w:t>e uitdagingen</w:t>
      </w:r>
      <w:r w:rsidRPr="004066F3">
        <w:t xml:space="preserve"> voor de AsDB is snelheid</w:t>
      </w:r>
      <w:r w:rsidR="00FE00C7" w:rsidRPr="004066F3">
        <w:t xml:space="preserve">. </w:t>
      </w:r>
      <w:r w:rsidR="00FE00C7" w:rsidRPr="00010F1C">
        <w:t>Het d</w:t>
      </w:r>
      <w:r w:rsidR="00010F1C" w:rsidRPr="00010F1C">
        <w:t>uurde in 2016 gemiddeld 12,5</w:t>
      </w:r>
      <w:r w:rsidR="00FE00C7" w:rsidRPr="00010F1C">
        <w:t xml:space="preserve"> maand</w:t>
      </w:r>
      <w:r w:rsidR="00010F1C" w:rsidRPr="00010F1C">
        <w:t>en om van projectgoedkeuring door de Board tot eerste uitbetaling te komen</w:t>
      </w:r>
      <w:r w:rsidR="00FE00C7" w:rsidRPr="00010F1C">
        <w:t xml:space="preserve">. </w:t>
      </w:r>
      <w:r w:rsidR="00D6425D">
        <w:t>D</w:t>
      </w:r>
      <w:r w:rsidR="00C2582A" w:rsidRPr="00010F1C">
        <w:t>it</w:t>
      </w:r>
      <w:r w:rsidR="00FE00C7" w:rsidRPr="00010F1C">
        <w:t xml:space="preserve"> </w:t>
      </w:r>
      <w:r w:rsidR="00D6425D">
        <w:t xml:space="preserve">is wel </w:t>
      </w:r>
      <w:r w:rsidR="00FE00C7" w:rsidRPr="00010F1C">
        <w:t xml:space="preserve">een verbetering </w:t>
      </w:r>
      <w:r w:rsidR="00C2582A" w:rsidRPr="00010F1C">
        <w:t>is ten opzich</w:t>
      </w:r>
      <w:r w:rsidR="00D6425D">
        <w:t xml:space="preserve">te van 2015, toen het gemiddelde lag op </w:t>
      </w:r>
      <w:r w:rsidR="00010F1C" w:rsidRPr="00010F1C">
        <w:t>14,3</w:t>
      </w:r>
      <w:r w:rsidR="00D6425D">
        <w:t xml:space="preserve"> maanden.</w:t>
      </w:r>
    </w:p>
    <w:p w14:paraId="6B3A8944" w14:textId="77777777" w:rsidR="00FE00C7" w:rsidRDefault="00FE00C7" w:rsidP="005532E7"/>
    <w:p w14:paraId="6B3A8945" w14:textId="3BF46D56" w:rsidR="00C2582A" w:rsidRDefault="005C6771" w:rsidP="00EC7EEF">
      <w:pPr>
        <w:rPr>
          <w:rFonts w:ascii="IdealSans-Light" w:hAnsi="IdealSans-Light" w:cs="IdealSans-Light"/>
          <w:sz w:val="20"/>
          <w:szCs w:val="20"/>
          <w:lang w:eastAsia="en-US"/>
        </w:rPr>
      </w:pPr>
      <w:r>
        <w:rPr>
          <w:szCs w:val="22"/>
          <w:lang w:eastAsia="ar-SA"/>
        </w:rPr>
        <w:t xml:space="preserve">Als onderdeel van de </w:t>
      </w:r>
      <w:r w:rsidRPr="00277A5F">
        <w:rPr>
          <w:i/>
          <w:szCs w:val="22"/>
          <w:lang w:eastAsia="ar-SA"/>
        </w:rPr>
        <w:t>Mid Term Review</w:t>
      </w:r>
      <w:r>
        <w:rPr>
          <w:szCs w:val="22"/>
          <w:lang w:eastAsia="ar-SA"/>
        </w:rPr>
        <w:t xml:space="preserve"> zijn in 2014 verschillende stappen afgesproken meer bevoegdheden te delegeren naar de landenkantoren.</w:t>
      </w:r>
      <w:r w:rsidR="00B6379D">
        <w:rPr>
          <w:szCs w:val="22"/>
          <w:lang w:eastAsia="ar-SA"/>
        </w:rPr>
        <w:t xml:space="preserve"> </w:t>
      </w:r>
      <w:r w:rsidR="00B93992">
        <w:rPr>
          <w:szCs w:val="22"/>
          <w:lang w:eastAsia="ar-SA"/>
        </w:rPr>
        <w:t xml:space="preserve">Dit beleid </w:t>
      </w:r>
      <w:r w:rsidR="00B93992" w:rsidRPr="00887E4D">
        <w:rPr>
          <w:szCs w:val="18"/>
          <w:lang w:eastAsia="ar-SA"/>
        </w:rPr>
        <w:t xml:space="preserve">wordt gecontinueerd. Zo zal er in 2017 meer personeel worden geplaatst bij de </w:t>
      </w:r>
      <w:r w:rsidR="00EC7EEF" w:rsidRPr="00887E4D">
        <w:rPr>
          <w:szCs w:val="18"/>
          <w:lang w:eastAsia="ar-SA"/>
        </w:rPr>
        <w:t>landenkantoren</w:t>
      </w:r>
      <w:r w:rsidR="00B93992" w:rsidRPr="00887E4D">
        <w:rPr>
          <w:szCs w:val="18"/>
          <w:lang w:eastAsia="ar-SA"/>
        </w:rPr>
        <w:t>. Van de 80 nieuwe posities die er voorzien zijn in 2017, zullen er 44 bij de</w:t>
      </w:r>
      <w:r w:rsidR="00EC7EEF" w:rsidRPr="00887E4D">
        <w:rPr>
          <w:szCs w:val="18"/>
          <w:lang w:eastAsia="ar-SA"/>
        </w:rPr>
        <w:t xml:space="preserve"> landenkantoren komen</w:t>
      </w:r>
      <w:r w:rsidR="00B93992" w:rsidRPr="00887E4D">
        <w:rPr>
          <w:szCs w:val="18"/>
          <w:lang w:eastAsia="ar-SA"/>
        </w:rPr>
        <w:t xml:space="preserve">. In aanvulling daarop worden 30 bestaande posities </w:t>
      </w:r>
      <w:r w:rsidR="00B93992" w:rsidRPr="00887E4D">
        <w:rPr>
          <w:szCs w:val="18"/>
          <w:lang w:eastAsia="ar-SA"/>
        </w:rPr>
        <w:lastRenderedPageBreak/>
        <w:t xml:space="preserve">overgeheveld van </w:t>
      </w:r>
      <w:r w:rsidR="00EC7EEF" w:rsidRPr="00887E4D">
        <w:rPr>
          <w:szCs w:val="18"/>
          <w:lang w:eastAsia="ar-SA"/>
        </w:rPr>
        <w:t xml:space="preserve">het hoofdkantoor </w:t>
      </w:r>
      <w:r w:rsidR="00B93992" w:rsidRPr="00887E4D">
        <w:rPr>
          <w:szCs w:val="18"/>
          <w:lang w:eastAsia="ar-SA"/>
        </w:rPr>
        <w:t xml:space="preserve">naar de landenkantoren. </w:t>
      </w:r>
      <w:r w:rsidR="00F44F66" w:rsidRPr="00887E4D">
        <w:rPr>
          <w:rFonts w:cs="IdealSans-Light"/>
          <w:szCs w:val="18"/>
          <w:lang w:eastAsia="en-US"/>
        </w:rPr>
        <w:t>Parallel hieraan zal de</w:t>
      </w:r>
      <w:r w:rsidR="00C2582A" w:rsidRPr="00887E4D">
        <w:rPr>
          <w:rFonts w:cs="IdealSans-Light"/>
          <w:szCs w:val="18"/>
          <w:lang w:eastAsia="en-US"/>
        </w:rPr>
        <w:t xml:space="preserve"> verantwoordelijkheid</w:t>
      </w:r>
      <w:r w:rsidR="00704832">
        <w:rPr>
          <w:rFonts w:cs="IdealSans-Light"/>
          <w:szCs w:val="18"/>
          <w:lang w:eastAsia="en-US"/>
        </w:rPr>
        <w:t xml:space="preserve"> van de landenkantoren </w:t>
      </w:r>
      <w:r w:rsidR="00C2582A" w:rsidRPr="00887E4D">
        <w:rPr>
          <w:rFonts w:cs="IdealSans-Light"/>
          <w:szCs w:val="18"/>
          <w:lang w:eastAsia="en-US"/>
        </w:rPr>
        <w:t xml:space="preserve">toenemen. </w:t>
      </w:r>
      <w:r w:rsidR="00F44F66" w:rsidRPr="00887E4D">
        <w:rPr>
          <w:rFonts w:cs="IdealSans-Light"/>
          <w:szCs w:val="18"/>
          <w:lang w:eastAsia="en-US"/>
        </w:rPr>
        <w:t xml:space="preserve">De bank werkt momenteel aan een herziening van de </w:t>
      </w:r>
      <w:r w:rsidR="00F44F66" w:rsidRPr="00887E4D">
        <w:rPr>
          <w:rFonts w:cs="IdealSans-Light"/>
          <w:i/>
          <w:szCs w:val="18"/>
          <w:lang w:eastAsia="en-US"/>
        </w:rPr>
        <w:t>project administration instructions</w:t>
      </w:r>
      <w:r w:rsidR="00F44F66" w:rsidRPr="00887E4D">
        <w:rPr>
          <w:rFonts w:cs="IdealSans-Light"/>
          <w:szCs w:val="18"/>
          <w:lang w:eastAsia="en-US"/>
        </w:rPr>
        <w:t>, waarin zal worden opgenomen dat landenkantoren in het vervolg grotere projecten kunnen goedkeuren en beheren.</w:t>
      </w:r>
      <w:r w:rsidR="00F44F66">
        <w:rPr>
          <w:rFonts w:ascii="IdealSans-Light" w:hAnsi="IdealSans-Light" w:cs="IdealSans-Light"/>
          <w:sz w:val="20"/>
          <w:szCs w:val="20"/>
          <w:lang w:eastAsia="en-US"/>
        </w:rPr>
        <w:t xml:space="preserve"> </w:t>
      </w:r>
    </w:p>
    <w:p w14:paraId="6B3A8946" w14:textId="77777777" w:rsidR="00887E4D" w:rsidRPr="00EC7EEF" w:rsidRDefault="00887E4D" w:rsidP="00EC7EEF">
      <w:pPr>
        <w:rPr>
          <w:szCs w:val="22"/>
          <w:lang w:eastAsia="ar-SA"/>
        </w:rPr>
      </w:pPr>
    </w:p>
    <w:p w14:paraId="6B3A8947" w14:textId="76B6B6AE" w:rsidR="008555BB" w:rsidRPr="00EC7EEF" w:rsidRDefault="00215809" w:rsidP="00DE343C">
      <w:pPr>
        <w:rPr>
          <w:i/>
          <w:lang w:eastAsia="ar-SA"/>
        </w:rPr>
      </w:pPr>
      <w:r w:rsidRPr="00215809">
        <w:rPr>
          <w:lang w:eastAsia="ar-SA"/>
        </w:rPr>
        <w:t xml:space="preserve">Het </w:t>
      </w:r>
      <w:r w:rsidR="00C02AF8" w:rsidRPr="00215809">
        <w:rPr>
          <w:lang w:eastAsia="ar-SA"/>
        </w:rPr>
        <w:t>individuele</w:t>
      </w:r>
      <w:r w:rsidRPr="00215809">
        <w:rPr>
          <w:lang w:eastAsia="ar-SA"/>
        </w:rPr>
        <w:t xml:space="preserve"> landenbeleid van de AsDB </w:t>
      </w:r>
      <w:r>
        <w:rPr>
          <w:lang w:eastAsia="ar-SA"/>
        </w:rPr>
        <w:t>wordt vormgegeven met</w:t>
      </w:r>
      <w:r w:rsidRPr="00215809">
        <w:rPr>
          <w:lang w:eastAsia="ar-SA"/>
        </w:rPr>
        <w:t xml:space="preserve"> </w:t>
      </w:r>
      <w:r w:rsidRPr="00215809">
        <w:rPr>
          <w:i/>
          <w:lang w:eastAsia="ar-SA"/>
        </w:rPr>
        <w:t>Country Partnership Strategies (CPSs)</w:t>
      </w:r>
      <w:r w:rsidRPr="00215809">
        <w:rPr>
          <w:lang w:eastAsia="ar-SA"/>
        </w:rPr>
        <w:t xml:space="preserve">. </w:t>
      </w:r>
      <w:r>
        <w:rPr>
          <w:lang w:eastAsia="ar-SA"/>
        </w:rPr>
        <w:t xml:space="preserve">Deze documenten worden </w:t>
      </w:r>
      <w:r w:rsidRPr="001E7FA4">
        <w:rPr>
          <w:lang w:eastAsia="ar-SA"/>
        </w:rPr>
        <w:t xml:space="preserve">in samenspraak met het </w:t>
      </w:r>
      <w:r>
        <w:rPr>
          <w:lang w:eastAsia="ar-SA"/>
        </w:rPr>
        <w:t xml:space="preserve">betreffende </w:t>
      </w:r>
      <w:r w:rsidRPr="001E7FA4">
        <w:rPr>
          <w:lang w:eastAsia="ar-SA"/>
        </w:rPr>
        <w:t>land ontwi</w:t>
      </w:r>
      <w:r w:rsidRPr="00BC3FD8">
        <w:rPr>
          <w:lang w:eastAsia="ar-SA"/>
        </w:rPr>
        <w:t xml:space="preserve">kkeld. </w:t>
      </w:r>
      <w:r w:rsidR="007D7652" w:rsidRPr="00BC3FD8">
        <w:rPr>
          <w:lang w:eastAsia="ar-SA"/>
        </w:rPr>
        <w:t xml:space="preserve">AsDB’s gebruik van landensystemen </w:t>
      </w:r>
      <w:r w:rsidR="006D687F" w:rsidRPr="00BC3FD8">
        <w:rPr>
          <w:lang w:eastAsia="ar-SA"/>
        </w:rPr>
        <w:t xml:space="preserve">op het gebied van </w:t>
      </w:r>
      <w:r w:rsidR="006D687F" w:rsidRPr="00BC3FD8">
        <w:rPr>
          <w:i/>
          <w:lang w:eastAsia="ar-SA"/>
        </w:rPr>
        <w:t>public financial management</w:t>
      </w:r>
      <w:r w:rsidR="006D687F" w:rsidRPr="00BC3FD8">
        <w:rPr>
          <w:lang w:eastAsia="ar-SA"/>
        </w:rPr>
        <w:t xml:space="preserve"> en aanbest</w:t>
      </w:r>
      <w:r w:rsidR="00BC3FD8" w:rsidRPr="00BC3FD8">
        <w:rPr>
          <w:lang w:eastAsia="ar-SA"/>
        </w:rPr>
        <w:t>ed</w:t>
      </w:r>
      <w:r w:rsidR="006D687F" w:rsidRPr="00BC3FD8">
        <w:rPr>
          <w:lang w:eastAsia="ar-SA"/>
        </w:rPr>
        <w:t>ing</w:t>
      </w:r>
      <w:r w:rsidR="00BC3FD8" w:rsidRPr="00BC3FD8">
        <w:rPr>
          <w:lang w:eastAsia="ar-SA"/>
        </w:rPr>
        <w:t>ssystemen</w:t>
      </w:r>
      <w:r w:rsidR="006D687F" w:rsidRPr="00BC3FD8">
        <w:rPr>
          <w:lang w:eastAsia="ar-SA"/>
        </w:rPr>
        <w:t xml:space="preserve"> </w:t>
      </w:r>
      <w:r w:rsidR="007D7652" w:rsidRPr="00BC3FD8">
        <w:rPr>
          <w:lang w:eastAsia="ar-SA"/>
        </w:rPr>
        <w:t>voor publieke sectoractiviteiten (‘</w:t>
      </w:r>
      <w:r w:rsidR="007D7652" w:rsidRPr="00BC3FD8">
        <w:rPr>
          <w:i/>
          <w:lang w:eastAsia="ar-SA"/>
        </w:rPr>
        <w:t>sovereign operations</w:t>
      </w:r>
      <w:r w:rsidR="007D7652" w:rsidRPr="00BC3FD8">
        <w:rPr>
          <w:lang w:eastAsia="ar-SA"/>
        </w:rPr>
        <w:t>’) is toegenomen van 55% in 2014 naar 60% in 2015. De reden hiervan is vooral toegenomen gebruik van lokale aanbestedingssystemen</w:t>
      </w:r>
      <w:r w:rsidR="00A64D6D">
        <w:rPr>
          <w:lang w:eastAsia="ar-SA"/>
        </w:rPr>
        <w:t xml:space="preserve">. </w:t>
      </w:r>
      <w:r w:rsidR="006D687F" w:rsidRPr="00BC3FD8">
        <w:rPr>
          <w:lang w:eastAsia="ar-SA"/>
        </w:rPr>
        <w:t xml:space="preserve">Op het gebied van </w:t>
      </w:r>
      <w:r w:rsidR="006D687F" w:rsidRPr="00BC3FD8">
        <w:rPr>
          <w:i/>
          <w:lang w:eastAsia="ar-SA"/>
        </w:rPr>
        <w:t>safeguards</w:t>
      </w:r>
      <w:r w:rsidR="006D687F" w:rsidRPr="00BC3FD8">
        <w:rPr>
          <w:lang w:eastAsia="ar-SA"/>
        </w:rPr>
        <w:t xml:space="preserve"> maakt de Bank nog nauwelijks gebruik landensystemen</w:t>
      </w:r>
      <w:r w:rsidR="006D687F">
        <w:rPr>
          <w:lang w:eastAsia="ar-SA"/>
        </w:rPr>
        <w:t>, maar streef</w:t>
      </w:r>
      <w:r w:rsidR="00BC3FD8">
        <w:rPr>
          <w:lang w:eastAsia="ar-SA"/>
        </w:rPr>
        <w:t xml:space="preserve">t er wel naar dit meer te gaan doen.  </w:t>
      </w:r>
      <w:r w:rsidR="007D7652">
        <w:rPr>
          <w:lang w:eastAsia="ar-SA"/>
        </w:rPr>
        <w:t xml:space="preserve">  </w:t>
      </w:r>
    </w:p>
    <w:p w14:paraId="6B3A8948" w14:textId="77777777" w:rsidR="002A310E" w:rsidRDefault="002A310E"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6B3A894B" w14:textId="77777777" w:rsidTr="00B06CE6">
        <w:tc>
          <w:tcPr>
            <w:tcW w:w="6912" w:type="dxa"/>
            <w:tcBorders>
              <w:top w:val="single" w:sz="12" w:space="0" w:color="auto"/>
              <w:left w:val="single" w:sz="12" w:space="0" w:color="auto"/>
              <w:bottom w:val="single" w:sz="12" w:space="0" w:color="auto"/>
            </w:tcBorders>
            <w:shd w:val="clear" w:color="auto" w:fill="D0CECE"/>
          </w:tcPr>
          <w:p w14:paraId="6B3A8949"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B3A894A" w14:textId="77777777" w:rsidR="002A310E" w:rsidRPr="00EA0AA8" w:rsidRDefault="002A310E" w:rsidP="00382AE3">
            <w:pPr>
              <w:rPr>
                <w:b/>
              </w:rPr>
            </w:pPr>
            <w:r w:rsidRPr="00EA0AA8">
              <w:rPr>
                <w:b/>
              </w:rPr>
              <w:t>Score</w:t>
            </w:r>
          </w:p>
        </w:tc>
      </w:tr>
      <w:tr w:rsidR="002A310E" w14:paraId="6B3A894E" w14:textId="77777777" w:rsidTr="00382AE3">
        <w:tc>
          <w:tcPr>
            <w:tcW w:w="6912" w:type="dxa"/>
            <w:tcBorders>
              <w:top w:val="single" w:sz="12" w:space="0" w:color="auto"/>
              <w:left w:val="single" w:sz="12" w:space="0" w:color="auto"/>
            </w:tcBorders>
            <w:shd w:val="clear" w:color="auto" w:fill="auto"/>
          </w:tcPr>
          <w:p w14:paraId="6B3A894C" w14:textId="77777777" w:rsidR="002A310E" w:rsidRDefault="008A646F" w:rsidP="00382AE3">
            <w:r>
              <w:t>Delegatie van bevoegdheden</w:t>
            </w:r>
          </w:p>
        </w:tc>
        <w:tc>
          <w:tcPr>
            <w:tcW w:w="955" w:type="dxa"/>
            <w:tcBorders>
              <w:top w:val="single" w:sz="12" w:space="0" w:color="auto"/>
              <w:right w:val="single" w:sz="12" w:space="0" w:color="auto"/>
            </w:tcBorders>
            <w:shd w:val="clear" w:color="auto" w:fill="auto"/>
          </w:tcPr>
          <w:p w14:paraId="6B3A894D" w14:textId="36A2AFB8" w:rsidR="002A310E" w:rsidRDefault="00B90630" w:rsidP="00382AE3">
            <w:r>
              <w:t>3</w:t>
            </w:r>
          </w:p>
        </w:tc>
      </w:tr>
      <w:tr w:rsidR="002A310E" w14:paraId="6B3A8951" w14:textId="77777777" w:rsidTr="00382AE3">
        <w:tc>
          <w:tcPr>
            <w:tcW w:w="6912" w:type="dxa"/>
            <w:tcBorders>
              <w:left w:val="single" w:sz="12" w:space="0" w:color="auto"/>
            </w:tcBorders>
            <w:shd w:val="clear" w:color="auto" w:fill="auto"/>
          </w:tcPr>
          <w:p w14:paraId="6B3A894F" w14:textId="77777777" w:rsidR="002A310E" w:rsidRDefault="008A646F" w:rsidP="00382AE3">
            <w:r>
              <w:t>Projectbeheer en financieel beheer</w:t>
            </w:r>
          </w:p>
        </w:tc>
        <w:tc>
          <w:tcPr>
            <w:tcW w:w="955" w:type="dxa"/>
            <w:tcBorders>
              <w:right w:val="single" w:sz="12" w:space="0" w:color="auto"/>
            </w:tcBorders>
            <w:shd w:val="clear" w:color="auto" w:fill="auto"/>
          </w:tcPr>
          <w:p w14:paraId="6B3A8950" w14:textId="77777777" w:rsidR="002A310E" w:rsidRDefault="00B61816" w:rsidP="00382AE3">
            <w:r>
              <w:t>3</w:t>
            </w:r>
          </w:p>
        </w:tc>
      </w:tr>
      <w:tr w:rsidR="002A310E" w14:paraId="6B3A8954" w14:textId="77777777" w:rsidTr="00382AE3">
        <w:tc>
          <w:tcPr>
            <w:tcW w:w="6912" w:type="dxa"/>
            <w:tcBorders>
              <w:left w:val="single" w:sz="12" w:space="0" w:color="auto"/>
            </w:tcBorders>
            <w:shd w:val="clear" w:color="auto" w:fill="auto"/>
          </w:tcPr>
          <w:p w14:paraId="6B3A8952" w14:textId="77777777" w:rsidR="002A310E" w:rsidRDefault="008A646F" w:rsidP="00382AE3">
            <w:r>
              <w:t>Verantwoordelijkheden en bevoegdheden decentrale kantoren</w:t>
            </w:r>
          </w:p>
        </w:tc>
        <w:tc>
          <w:tcPr>
            <w:tcW w:w="955" w:type="dxa"/>
            <w:tcBorders>
              <w:right w:val="single" w:sz="12" w:space="0" w:color="auto"/>
            </w:tcBorders>
            <w:shd w:val="clear" w:color="auto" w:fill="auto"/>
          </w:tcPr>
          <w:p w14:paraId="6B3A8953" w14:textId="56CF8E2A" w:rsidR="002A310E" w:rsidRDefault="00B90630" w:rsidP="00382AE3">
            <w:r>
              <w:t>2</w:t>
            </w:r>
          </w:p>
        </w:tc>
      </w:tr>
      <w:tr w:rsidR="002A310E" w14:paraId="6B3A8957" w14:textId="77777777" w:rsidTr="00382AE3">
        <w:tc>
          <w:tcPr>
            <w:tcW w:w="6912" w:type="dxa"/>
            <w:tcBorders>
              <w:left w:val="single" w:sz="12" w:space="0" w:color="auto"/>
              <w:bottom w:val="single" w:sz="12" w:space="0" w:color="auto"/>
            </w:tcBorders>
            <w:shd w:val="clear" w:color="auto" w:fill="auto"/>
          </w:tcPr>
          <w:p w14:paraId="6B3A8955" w14:textId="77777777" w:rsidR="002A310E" w:rsidRDefault="008A646F" w:rsidP="00382AE3">
            <w:r>
              <w:t>Gebruik van lokale partners en systemen</w:t>
            </w:r>
          </w:p>
        </w:tc>
        <w:tc>
          <w:tcPr>
            <w:tcW w:w="955" w:type="dxa"/>
            <w:tcBorders>
              <w:bottom w:val="single" w:sz="12" w:space="0" w:color="auto"/>
              <w:right w:val="single" w:sz="12" w:space="0" w:color="auto"/>
            </w:tcBorders>
            <w:shd w:val="clear" w:color="auto" w:fill="auto"/>
          </w:tcPr>
          <w:p w14:paraId="6B3A8956" w14:textId="77777777" w:rsidR="002A310E" w:rsidRDefault="006D687F" w:rsidP="00382AE3">
            <w:r w:rsidRPr="00BC3FD8">
              <w:t>3</w:t>
            </w:r>
          </w:p>
        </w:tc>
      </w:tr>
      <w:tr w:rsidR="002A310E" w:rsidRPr="00EA0AA8" w14:paraId="6B3A895A" w14:textId="77777777" w:rsidTr="00B06CE6">
        <w:tc>
          <w:tcPr>
            <w:tcW w:w="6912" w:type="dxa"/>
            <w:tcBorders>
              <w:top w:val="single" w:sz="12" w:space="0" w:color="auto"/>
              <w:left w:val="single" w:sz="12" w:space="0" w:color="auto"/>
              <w:bottom w:val="single" w:sz="12" w:space="0" w:color="auto"/>
            </w:tcBorders>
            <w:shd w:val="clear" w:color="auto" w:fill="D0CECE"/>
          </w:tcPr>
          <w:p w14:paraId="6B3A8958"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3A8959" w14:textId="77777777" w:rsidR="002A310E" w:rsidRPr="00EA0AA8" w:rsidRDefault="00A045AE" w:rsidP="00382AE3">
            <w:pPr>
              <w:rPr>
                <w:b/>
              </w:rPr>
            </w:pPr>
            <w:r>
              <w:rPr>
                <w:b/>
              </w:rPr>
              <w:t>3</w:t>
            </w:r>
          </w:p>
        </w:tc>
      </w:tr>
    </w:tbl>
    <w:p w14:paraId="6B3A895B" w14:textId="77777777" w:rsidR="002A310E" w:rsidRDefault="002A310E" w:rsidP="00326699"/>
    <w:p w14:paraId="6B3A895C" w14:textId="68CC5F77" w:rsidR="00E20A86" w:rsidRDefault="00D32F98" w:rsidP="00491FFC">
      <w:pPr>
        <w:ind w:firstLine="227"/>
      </w:pPr>
      <w:r w:rsidRPr="00193994">
        <w:t>Ver</w:t>
      </w:r>
      <w:r w:rsidR="003F5D94">
        <w:t xml:space="preserve">andering sinds 2015: </w:t>
      </w:r>
      <w:r>
        <w:t>neutraal</w:t>
      </w:r>
      <w:r w:rsidRPr="00193994">
        <w:t xml:space="preserve"> = </w:t>
      </w:r>
      <w:r w:rsidRPr="00193994">
        <w:sym w:font="Wingdings" w:char="F0E8"/>
      </w:r>
    </w:p>
    <w:p w14:paraId="03773C44" w14:textId="77777777" w:rsidR="00514A54" w:rsidRPr="009720A7" w:rsidRDefault="00514A54" w:rsidP="00491FFC">
      <w:pPr>
        <w:ind w:firstLine="227"/>
        <w:rPr>
          <w:b/>
        </w:rPr>
      </w:pPr>
    </w:p>
    <w:p w14:paraId="6B3A895D" w14:textId="77777777" w:rsidR="003A32D7" w:rsidRPr="0091776E" w:rsidRDefault="0091776E" w:rsidP="0091776E">
      <w:pPr>
        <w:pStyle w:val="Heading2"/>
        <w:tabs>
          <w:tab w:val="left" w:pos="-1162"/>
          <w:tab w:val="left" w:pos="0"/>
          <w:tab w:val="num" w:pos="1160"/>
        </w:tabs>
        <w:spacing w:line="240" w:lineRule="auto"/>
        <w:ind w:hanging="1162"/>
        <w:rPr>
          <w:b w:val="0"/>
        </w:rPr>
      </w:pPr>
      <w:bookmarkStart w:id="35" w:name="_Toc491437349"/>
      <w:r>
        <w:t>4</w:t>
      </w:r>
      <w:r w:rsidR="00E276B2">
        <w:t>.</w:t>
      </w:r>
      <w:r w:rsidR="00A74DEC">
        <w:t>5</w:t>
      </w:r>
      <w:r w:rsidR="00E276B2">
        <w:tab/>
      </w:r>
      <w:r w:rsidR="003A32D7" w:rsidRPr="004D372F">
        <w:t>Beleidsevaluatie</w:t>
      </w:r>
      <w:bookmarkEnd w:id="35"/>
    </w:p>
    <w:p w14:paraId="6B3A895E" w14:textId="2344858F" w:rsidR="001E40BD" w:rsidRDefault="00654B10" w:rsidP="00654B10">
      <w:pPr>
        <w:suppressAutoHyphens/>
        <w:rPr>
          <w:lang w:eastAsia="ar-SA"/>
        </w:rPr>
      </w:pPr>
      <w:r>
        <w:rPr>
          <w:lang w:eastAsia="ar-SA"/>
        </w:rPr>
        <w:t>Het eval</w:t>
      </w:r>
      <w:r w:rsidR="001C24EC">
        <w:rPr>
          <w:lang w:eastAsia="ar-SA"/>
        </w:rPr>
        <w:t>uatiebeleid van de AsDB i</w:t>
      </w:r>
      <w:r w:rsidR="00F74E87">
        <w:rPr>
          <w:lang w:eastAsia="ar-SA"/>
        </w:rPr>
        <w:t>s duidelijk vastgelegd.</w:t>
      </w:r>
      <w:r w:rsidR="001E40BD">
        <w:rPr>
          <w:lang w:eastAsia="ar-SA"/>
        </w:rPr>
        <w:t xml:space="preserve"> </w:t>
      </w:r>
      <w:r w:rsidR="00203549">
        <w:rPr>
          <w:lang w:eastAsia="ar-SA"/>
        </w:rPr>
        <w:t xml:space="preserve">Zo zijn </w:t>
      </w:r>
      <w:r w:rsidR="001E40BD">
        <w:rPr>
          <w:lang w:eastAsia="ar-SA"/>
        </w:rPr>
        <w:t>onder meer de</w:t>
      </w:r>
      <w:r w:rsidR="00AE266A">
        <w:rPr>
          <w:lang w:eastAsia="ar-SA"/>
        </w:rPr>
        <w:t xml:space="preserve"> inrichting,</w:t>
      </w:r>
      <w:r w:rsidR="00466503">
        <w:rPr>
          <w:lang w:eastAsia="ar-SA"/>
        </w:rPr>
        <w:t xml:space="preserve"> doelen, scope en hoofd</w:t>
      </w:r>
      <w:r w:rsidR="00AE014C">
        <w:rPr>
          <w:lang w:eastAsia="ar-SA"/>
        </w:rPr>
        <w:t>-</w:t>
      </w:r>
      <w:r w:rsidR="001E40BD">
        <w:rPr>
          <w:lang w:eastAsia="ar-SA"/>
        </w:rPr>
        <w:t>outputs van de</w:t>
      </w:r>
      <w:r w:rsidR="00203549">
        <w:rPr>
          <w:lang w:eastAsia="ar-SA"/>
        </w:rPr>
        <w:t xml:space="preserve"> evaluatieafdeling</w:t>
      </w:r>
      <w:r w:rsidR="001E40BD">
        <w:rPr>
          <w:lang w:eastAsia="ar-SA"/>
        </w:rPr>
        <w:t xml:space="preserve"> </w:t>
      </w:r>
      <w:r w:rsidR="00203549">
        <w:rPr>
          <w:lang w:eastAsia="ar-SA"/>
        </w:rPr>
        <w:t>(</w:t>
      </w:r>
      <w:r w:rsidR="001E40BD">
        <w:rPr>
          <w:i/>
          <w:lang w:eastAsia="ar-SA"/>
        </w:rPr>
        <w:t>Independent Evaluation Department</w:t>
      </w:r>
      <w:r w:rsidR="002006EB">
        <w:rPr>
          <w:lang w:eastAsia="ar-SA"/>
        </w:rPr>
        <w:t>)</w:t>
      </w:r>
      <w:r w:rsidR="00203549">
        <w:rPr>
          <w:lang w:eastAsia="ar-SA"/>
        </w:rPr>
        <w:t xml:space="preserve"> vastgelegd </w:t>
      </w:r>
      <w:r w:rsidR="001E40BD">
        <w:rPr>
          <w:lang w:eastAsia="ar-SA"/>
        </w:rPr>
        <w:t>en het type evaluaties dat uitgevoerd wordt</w:t>
      </w:r>
      <w:r w:rsidR="00523256">
        <w:rPr>
          <w:lang w:eastAsia="ar-SA"/>
        </w:rPr>
        <w:t>.</w:t>
      </w:r>
      <w:r w:rsidR="00810BAD">
        <w:rPr>
          <w:lang w:eastAsia="ar-SA"/>
        </w:rPr>
        <w:t xml:space="preserve"> Jaarlijks stelt </w:t>
      </w:r>
      <w:r w:rsidR="00203549">
        <w:rPr>
          <w:lang w:eastAsia="ar-SA"/>
        </w:rPr>
        <w:t>de evaluatieafdeling</w:t>
      </w:r>
      <w:r w:rsidR="002006EB">
        <w:rPr>
          <w:lang w:eastAsia="ar-SA"/>
        </w:rPr>
        <w:t xml:space="preserve"> een driejarig werkprogramma vast</w:t>
      </w:r>
      <w:r w:rsidR="00203549">
        <w:rPr>
          <w:lang w:eastAsia="ar-SA"/>
        </w:rPr>
        <w:t xml:space="preserve"> dat goedgekeurd wordt door de Raad van Bewindvoerders</w:t>
      </w:r>
      <w:r w:rsidR="002006EB">
        <w:rPr>
          <w:lang w:eastAsia="ar-SA"/>
        </w:rPr>
        <w:t xml:space="preserve">. </w:t>
      </w:r>
      <w:r w:rsidR="001C24EC">
        <w:rPr>
          <w:lang w:eastAsia="ar-SA"/>
        </w:rPr>
        <w:t xml:space="preserve"> </w:t>
      </w:r>
    </w:p>
    <w:p w14:paraId="6B3A895F" w14:textId="77777777" w:rsidR="001E40BD" w:rsidRDefault="001E40BD" w:rsidP="00654B10">
      <w:pPr>
        <w:suppressAutoHyphens/>
        <w:rPr>
          <w:lang w:eastAsia="ar-SA"/>
        </w:rPr>
      </w:pPr>
    </w:p>
    <w:p w14:paraId="6B3A8960" w14:textId="77777777" w:rsidR="001E40BD" w:rsidRDefault="00203549" w:rsidP="00203549">
      <w:pPr>
        <w:suppressAutoHyphens/>
        <w:rPr>
          <w:lang w:eastAsia="ar-SA"/>
        </w:rPr>
      </w:pPr>
      <w:r>
        <w:rPr>
          <w:lang w:eastAsia="ar-SA"/>
        </w:rPr>
        <w:t xml:space="preserve">De evaluatieafdeling opereert onafhankelijk van het Management en wordt direct aangestuurd door de Raad van Bewindvoerders. Deze aansturing geschiedt met name via regelmatige bijeenkomsten van het </w:t>
      </w:r>
      <w:r>
        <w:rPr>
          <w:i/>
          <w:lang w:eastAsia="ar-SA"/>
        </w:rPr>
        <w:t xml:space="preserve">Development Effectiveness Committee, </w:t>
      </w:r>
      <w:r>
        <w:rPr>
          <w:lang w:eastAsia="ar-SA"/>
        </w:rPr>
        <w:t xml:space="preserve">waarbij </w:t>
      </w:r>
      <w:r w:rsidR="00CC7D91">
        <w:rPr>
          <w:lang w:eastAsia="ar-SA"/>
        </w:rPr>
        <w:t>ook</w:t>
      </w:r>
      <w:r w:rsidR="0072017B">
        <w:rPr>
          <w:lang w:eastAsia="ar-SA"/>
        </w:rPr>
        <w:t xml:space="preserve"> </w:t>
      </w:r>
      <w:r w:rsidR="00CC7D91">
        <w:rPr>
          <w:lang w:eastAsia="ar-SA"/>
        </w:rPr>
        <w:t>Management aanwezig is</w:t>
      </w:r>
      <w:r>
        <w:rPr>
          <w:lang w:eastAsia="ar-SA"/>
        </w:rPr>
        <w:t>.</w:t>
      </w:r>
      <w:r>
        <w:rPr>
          <w:i/>
          <w:lang w:eastAsia="ar-SA"/>
        </w:rPr>
        <w:t xml:space="preserve"> </w:t>
      </w:r>
      <w:r w:rsidR="00D60EBB">
        <w:rPr>
          <w:lang w:eastAsia="ar-SA"/>
        </w:rPr>
        <w:t xml:space="preserve">De kiesgroep </w:t>
      </w:r>
      <w:r w:rsidRPr="00DE0128">
        <w:rPr>
          <w:lang w:eastAsia="ar-SA"/>
        </w:rPr>
        <w:t xml:space="preserve">waar Nederland </w:t>
      </w:r>
      <w:r>
        <w:rPr>
          <w:lang w:eastAsia="ar-SA"/>
        </w:rPr>
        <w:t>toe behoort</w:t>
      </w:r>
      <w:r w:rsidR="00D60EBB">
        <w:rPr>
          <w:lang w:eastAsia="ar-SA"/>
        </w:rPr>
        <w:t xml:space="preserve"> </w:t>
      </w:r>
      <w:r w:rsidRPr="00DE0128">
        <w:rPr>
          <w:lang w:eastAsia="ar-SA"/>
        </w:rPr>
        <w:t xml:space="preserve">is </w:t>
      </w:r>
      <w:r w:rsidR="0072017B">
        <w:rPr>
          <w:lang w:eastAsia="ar-SA"/>
        </w:rPr>
        <w:t xml:space="preserve">op actieve wijze </w:t>
      </w:r>
      <w:r>
        <w:rPr>
          <w:lang w:eastAsia="ar-SA"/>
        </w:rPr>
        <w:t>vertegenwoordigd in dit comité.</w:t>
      </w:r>
    </w:p>
    <w:p w14:paraId="6B3A8961" w14:textId="77777777" w:rsidR="0072017B" w:rsidRDefault="0072017B" w:rsidP="00203549">
      <w:pPr>
        <w:suppressAutoHyphens/>
        <w:rPr>
          <w:lang w:eastAsia="ar-SA"/>
        </w:rPr>
      </w:pPr>
    </w:p>
    <w:p w14:paraId="6B3A8962" w14:textId="6CBE8EDF" w:rsidR="00D60EBB" w:rsidRDefault="00F113F1" w:rsidP="00203549">
      <w:pPr>
        <w:suppressAutoHyphens/>
        <w:rPr>
          <w:lang w:eastAsia="ar-SA"/>
        </w:rPr>
      </w:pPr>
      <w:r>
        <w:rPr>
          <w:lang w:eastAsia="ar-SA"/>
        </w:rPr>
        <w:t xml:space="preserve">De evaluatieafdeling is voldoende onafhankelijk. </w:t>
      </w:r>
      <w:r w:rsidR="00944940">
        <w:rPr>
          <w:lang w:eastAsia="ar-SA"/>
        </w:rPr>
        <w:t>Di</w:t>
      </w:r>
      <w:r w:rsidR="00826F94">
        <w:rPr>
          <w:lang w:eastAsia="ar-SA"/>
        </w:rPr>
        <w:t xml:space="preserve">t komt onder meer door het feit </w:t>
      </w:r>
      <w:r w:rsidR="00BF50CD">
        <w:rPr>
          <w:lang w:eastAsia="ar-SA"/>
        </w:rPr>
        <w:t>dat de afdeling</w:t>
      </w:r>
      <w:r w:rsidR="00944940">
        <w:rPr>
          <w:lang w:eastAsia="ar-SA"/>
        </w:rPr>
        <w:t xml:space="preserve"> niet</w:t>
      </w:r>
      <w:r w:rsidR="00826F94">
        <w:rPr>
          <w:lang w:eastAsia="ar-SA"/>
        </w:rPr>
        <w:t xml:space="preserve"> rapporteert aan de lijnfuncties die het moet evalueren, maar aan de Raad van Bewindvoerders, zoals hierboven uitgelegd.</w:t>
      </w:r>
      <w:r w:rsidR="00944940">
        <w:rPr>
          <w:lang w:eastAsia="ar-SA"/>
        </w:rPr>
        <w:t xml:space="preserve"> </w:t>
      </w:r>
      <w:r w:rsidR="00B75F5B">
        <w:rPr>
          <w:lang w:eastAsia="ar-SA"/>
        </w:rPr>
        <w:t xml:space="preserve">In </w:t>
      </w:r>
      <w:r w:rsidR="002E1A44">
        <w:rPr>
          <w:lang w:eastAsia="ar-SA"/>
        </w:rPr>
        <w:t xml:space="preserve">2008 </w:t>
      </w:r>
      <w:r w:rsidR="00B75F5B">
        <w:rPr>
          <w:lang w:eastAsia="ar-SA"/>
        </w:rPr>
        <w:t xml:space="preserve">is een review uitgevoerd </w:t>
      </w:r>
      <w:r w:rsidR="002E1A44">
        <w:rPr>
          <w:lang w:eastAsia="ar-SA"/>
        </w:rPr>
        <w:t xml:space="preserve">naar de onafhankelijkheid en effectiviteit van </w:t>
      </w:r>
      <w:r w:rsidR="00C121D5">
        <w:rPr>
          <w:lang w:eastAsia="ar-SA"/>
        </w:rPr>
        <w:t>de evaluatieafdeling</w:t>
      </w:r>
      <w:r w:rsidR="00523256">
        <w:rPr>
          <w:lang w:eastAsia="ar-SA"/>
        </w:rPr>
        <w:t>.</w:t>
      </w:r>
      <w:r w:rsidR="00AA089E">
        <w:rPr>
          <w:lang w:eastAsia="ar-SA"/>
        </w:rPr>
        <w:t xml:space="preserve"> Daaruit bleek</w:t>
      </w:r>
      <w:r w:rsidR="00B75F5B">
        <w:rPr>
          <w:lang w:eastAsia="ar-SA"/>
        </w:rPr>
        <w:t xml:space="preserve"> </w:t>
      </w:r>
      <w:r w:rsidR="00D72994">
        <w:rPr>
          <w:lang w:eastAsia="ar-SA"/>
        </w:rPr>
        <w:t xml:space="preserve">dat </w:t>
      </w:r>
      <w:r w:rsidR="00F56E16">
        <w:rPr>
          <w:lang w:eastAsia="ar-SA"/>
        </w:rPr>
        <w:t>de afdeling een duidelijk gearticuleerd onafhankelijk evalu</w:t>
      </w:r>
      <w:r w:rsidR="009B4CEF">
        <w:rPr>
          <w:lang w:eastAsia="ar-SA"/>
        </w:rPr>
        <w:t>a</w:t>
      </w:r>
      <w:r w:rsidR="00F56E16">
        <w:rPr>
          <w:lang w:eastAsia="ar-SA"/>
        </w:rPr>
        <w:t>tiem</w:t>
      </w:r>
      <w:r w:rsidR="00944940">
        <w:rPr>
          <w:lang w:eastAsia="ar-SA"/>
        </w:rPr>
        <w:t xml:space="preserve">odel hanteert. </w:t>
      </w:r>
      <w:r w:rsidR="00AA089E">
        <w:rPr>
          <w:lang w:eastAsia="ar-SA"/>
        </w:rPr>
        <w:t xml:space="preserve">Er bleek </w:t>
      </w:r>
      <w:r w:rsidR="00F56E16">
        <w:rPr>
          <w:lang w:eastAsia="ar-SA"/>
        </w:rPr>
        <w:t xml:space="preserve">echter ook </w:t>
      </w:r>
      <w:r w:rsidR="00D72994">
        <w:rPr>
          <w:lang w:eastAsia="ar-SA"/>
        </w:rPr>
        <w:t xml:space="preserve">uit </w:t>
      </w:r>
      <w:r w:rsidR="00F56E16">
        <w:rPr>
          <w:lang w:eastAsia="ar-SA"/>
        </w:rPr>
        <w:t>dat geloofwaardigheid als onafhankelijk</w:t>
      </w:r>
      <w:r w:rsidR="009B4CEF">
        <w:rPr>
          <w:lang w:eastAsia="ar-SA"/>
        </w:rPr>
        <w:t>e</w:t>
      </w:r>
      <w:r w:rsidR="00F56E16">
        <w:rPr>
          <w:lang w:eastAsia="ar-SA"/>
        </w:rPr>
        <w:t xml:space="preserve"> afdeling versterkt kon worden. De aanbevelingen hiertoe zijn </w:t>
      </w:r>
      <w:r w:rsidR="002E1A44">
        <w:rPr>
          <w:lang w:eastAsia="ar-SA"/>
        </w:rPr>
        <w:t xml:space="preserve">in 2009 </w:t>
      </w:r>
      <w:r w:rsidR="00944940">
        <w:rPr>
          <w:lang w:eastAsia="ar-SA"/>
        </w:rPr>
        <w:t>ingevoerd.</w:t>
      </w:r>
    </w:p>
    <w:p w14:paraId="6B3A8963" w14:textId="77777777" w:rsidR="00F113F1" w:rsidRDefault="00F113F1" w:rsidP="00203549">
      <w:pPr>
        <w:suppressAutoHyphens/>
        <w:rPr>
          <w:lang w:eastAsia="ar-SA"/>
        </w:rPr>
      </w:pPr>
    </w:p>
    <w:p w14:paraId="6B3A8964" w14:textId="77777777" w:rsidR="007D6B97" w:rsidRDefault="00826F94" w:rsidP="007D6B97">
      <w:pPr>
        <w:suppressAutoHyphens/>
        <w:rPr>
          <w:lang w:eastAsia="ar-SA"/>
        </w:rPr>
      </w:pPr>
      <w:r>
        <w:rPr>
          <w:lang w:eastAsia="ar-SA"/>
        </w:rPr>
        <w:t xml:space="preserve">De </w:t>
      </w:r>
      <w:r w:rsidR="00C02AF8">
        <w:rPr>
          <w:lang w:eastAsia="ar-SA"/>
        </w:rPr>
        <w:t>reikwijdte</w:t>
      </w:r>
      <w:r>
        <w:rPr>
          <w:lang w:eastAsia="ar-SA"/>
        </w:rPr>
        <w:t xml:space="preserve"> van de </w:t>
      </w:r>
      <w:r w:rsidR="00C02AF8">
        <w:rPr>
          <w:lang w:eastAsia="ar-SA"/>
        </w:rPr>
        <w:t>evaluaties</w:t>
      </w:r>
      <w:r>
        <w:rPr>
          <w:lang w:eastAsia="ar-SA"/>
        </w:rPr>
        <w:t xml:space="preserve"> is zeer breed. Zo kunnen e</w:t>
      </w:r>
      <w:r w:rsidR="007D6B97">
        <w:rPr>
          <w:lang w:eastAsia="ar-SA"/>
        </w:rPr>
        <w:t xml:space="preserve">valuaties </w:t>
      </w:r>
      <w:r w:rsidR="00654B10">
        <w:rPr>
          <w:lang w:eastAsia="ar-SA"/>
        </w:rPr>
        <w:t>betrekking hebben op landen-, thema- of sectorbeleid, maar ook op projectniveau of op het niveau van instrumenten of programma’s.</w:t>
      </w:r>
      <w:r w:rsidR="005565E0">
        <w:rPr>
          <w:lang w:eastAsia="ar-SA"/>
        </w:rPr>
        <w:t xml:space="preserve"> E</w:t>
      </w:r>
      <w:r w:rsidR="00AA089E">
        <w:rPr>
          <w:lang w:eastAsia="ar-SA"/>
        </w:rPr>
        <w:t xml:space="preserve">r worden </w:t>
      </w:r>
      <w:r w:rsidR="005565E0">
        <w:rPr>
          <w:lang w:eastAsia="ar-SA"/>
        </w:rPr>
        <w:t>voldoende evaluaties uitgevoerd om een goed beeld te hebben</w:t>
      </w:r>
      <w:r w:rsidR="00AA089E">
        <w:rPr>
          <w:lang w:eastAsia="ar-SA"/>
        </w:rPr>
        <w:t xml:space="preserve"> van het functioneren van de Bank</w:t>
      </w:r>
      <w:r w:rsidR="005565E0">
        <w:rPr>
          <w:lang w:eastAsia="ar-SA"/>
        </w:rPr>
        <w:t>. Z</w:t>
      </w:r>
      <w:r w:rsidR="00FB04A3">
        <w:rPr>
          <w:lang w:eastAsia="ar-SA"/>
        </w:rPr>
        <w:t>o zijn er in 2015 22 evaluaties uitgevoerd, waa</w:t>
      </w:r>
      <w:r w:rsidR="00AA089E">
        <w:rPr>
          <w:lang w:eastAsia="ar-SA"/>
        </w:rPr>
        <w:t xml:space="preserve">rbij een aantal evaluaties </w:t>
      </w:r>
      <w:r w:rsidR="00FB04A3">
        <w:rPr>
          <w:lang w:eastAsia="ar-SA"/>
        </w:rPr>
        <w:t>een breed aantal programma’s en projecten onder de loe</w:t>
      </w:r>
      <w:r w:rsidR="00C51807">
        <w:rPr>
          <w:lang w:eastAsia="ar-SA"/>
        </w:rPr>
        <w:t>p nam</w:t>
      </w:r>
      <w:r w:rsidR="00FB04A3">
        <w:rPr>
          <w:lang w:eastAsia="ar-SA"/>
        </w:rPr>
        <w:t xml:space="preserve">. </w:t>
      </w:r>
      <w:r w:rsidR="005565E0">
        <w:rPr>
          <w:lang w:eastAsia="ar-SA"/>
        </w:rPr>
        <w:t xml:space="preserve"> </w:t>
      </w:r>
      <w:r w:rsidR="00654B10">
        <w:rPr>
          <w:lang w:eastAsia="ar-SA"/>
        </w:rPr>
        <w:t xml:space="preserve"> </w:t>
      </w:r>
    </w:p>
    <w:p w14:paraId="6B3A8965" w14:textId="1C1B3C6F" w:rsidR="00963FA3" w:rsidRDefault="00963FA3" w:rsidP="00200F18">
      <w:pPr>
        <w:suppressAutoHyphens/>
        <w:spacing w:before="240"/>
        <w:rPr>
          <w:lang w:eastAsia="ar-SA"/>
        </w:rPr>
      </w:pPr>
      <w:r>
        <w:rPr>
          <w:lang w:eastAsia="ar-SA"/>
        </w:rPr>
        <w:lastRenderedPageBreak/>
        <w:t>D</w:t>
      </w:r>
      <w:r w:rsidR="0034378E">
        <w:rPr>
          <w:lang w:eastAsia="ar-SA"/>
        </w:rPr>
        <w:t xml:space="preserve">e acceptiegraad van de </w:t>
      </w:r>
      <w:r>
        <w:rPr>
          <w:lang w:eastAsia="ar-SA"/>
        </w:rPr>
        <w:t>evalu</w:t>
      </w:r>
      <w:r w:rsidR="00523256">
        <w:rPr>
          <w:lang w:eastAsia="ar-SA"/>
        </w:rPr>
        <w:t>a</w:t>
      </w:r>
      <w:r>
        <w:rPr>
          <w:lang w:eastAsia="ar-SA"/>
        </w:rPr>
        <w:t>tie</w:t>
      </w:r>
      <w:r w:rsidR="00523256">
        <w:rPr>
          <w:lang w:eastAsia="ar-SA"/>
        </w:rPr>
        <w:t>-</w:t>
      </w:r>
      <w:r>
        <w:rPr>
          <w:lang w:eastAsia="ar-SA"/>
        </w:rPr>
        <w:t>aanbevelingen</w:t>
      </w:r>
      <w:r w:rsidR="00AE50D5">
        <w:rPr>
          <w:lang w:eastAsia="ar-SA"/>
        </w:rPr>
        <w:t xml:space="preserve"> </w:t>
      </w:r>
      <w:r w:rsidR="0034378E">
        <w:rPr>
          <w:lang w:eastAsia="ar-SA"/>
        </w:rPr>
        <w:t>is 65%</w:t>
      </w:r>
      <w:r w:rsidR="00523256">
        <w:rPr>
          <w:lang w:eastAsia="ar-SA"/>
        </w:rPr>
        <w:t>.</w:t>
      </w:r>
      <w:r w:rsidR="0034378E">
        <w:rPr>
          <w:lang w:eastAsia="ar-SA"/>
        </w:rPr>
        <w:t xml:space="preserve"> Dit </w:t>
      </w:r>
      <w:r w:rsidR="00CC7D91">
        <w:rPr>
          <w:lang w:eastAsia="ar-SA"/>
        </w:rPr>
        <w:t>relatief lage percentage is een aandachtspunt</w:t>
      </w:r>
      <w:r w:rsidR="0034378E">
        <w:rPr>
          <w:lang w:eastAsia="ar-SA"/>
        </w:rPr>
        <w:t xml:space="preserve">. </w:t>
      </w:r>
      <w:r>
        <w:rPr>
          <w:lang w:eastAsia="ar-SA"/>
        </w:rPr>
        <w:t xml:space="preserve">Wel hanteert de AsDB </w:t>
      </w:r>
      <w:r w:rsidR="000E4030">
        <w:rPr>
          <w:lang w:eastAsia="ar-SA"/>
        </w:rPr>
        <w:t>een goed</w:t>
      </w:r>
      <w:r>
        <w:rPr>
          <w:lang w:eastAsia="ar-SA"/>
        </w:rPr>
        <w:t xml:space="preserve"> functionerend systeem om bij te houden in hoeverre follow up wordt gegeven aan de geacc</w:t>
      </w:r>
      <w:r w:rsidR="00523256">
        <w:rPr>
          <w:lang w:eastAsia="ar-SA"/>
        </w:rPr>
        <w:t>e</w:t>
      </w:r>
      <w:r>
        <w:rPr>
          <w:lang w:eastAsia="ar-SA"/>
        </w:rPr>
        <w:t>pteerde aanbevelingen</w:t>
      </w:r>
      <w:r w:rsidR="000E4030">
        <w:rPr>
          <w:lang w:eastAsia="ar-SA"/>
        </w:rPr>
        <w:t xml:space="preserve"> (</w:t>
      </w:r>
      <w:r w:rsidR="000E4030">
        <w:rPr>
          <w:i/>
          <w:lang w:eastAsia="ar-SA"/>
        </w:rPr>
        <w:t>Management Action Record System</w:t>
      </w:r>
      <w:r w:rsidR="000E4030">
        <w:rPr>
          <w:lang w:eastAsia="ar-SA"/>
        </w:rPr>
        <w:t>)</w:t>
      </w:r>
      <w:r>
        <w:rPr>
          <w:lang w:eastAsia="ar-SA"/>
        </w:rPr>
        <w:t xml:space="preserve">. </w:t>
      </w:r>
      <w:r w:rsidR="000E4030">
        <w:rPr>
          <w:lang w:eastAsia="ar-SA"/>
        </w:rPr>
        <w:t xml:space="preserve">Een aandachtspunt hierbij is echter </w:t>
      </w:r>
      <w:r w:rsidR="00200F18">
        <w:rPr>
          <w:lang w:eastAsia="ar-SA"/>
        </w:rPr>
        <w:t xml:space="preserve">het feit </w:t>
      </w:r>
      <w:r w:rsidR="000E4030">
        <w:rPr>
          <w:lang w:eastAsia="ar-SA"/>
        </w:rPr>
        <w:t>dat uitvoering van een aanbeveling wordt onderverdeeld in verschillende acties met verschillende einddata.</w:t>
      </w:r>
      <w:r w:rsidR="00200F18">
        <w:rPr>
          <w:lang w:eastAsia="ar-SA"/>
        </w:rPr>
        <w:t xml:space="preserve"> Het gevolg hiervan is dat het gerapporteerde effect van een bepaalde actie beperkt kan zijn doordat een andere complementaire actie nog niet is afgerond. De bredere context van acties zou dus effectiever geschets</w:t>
      </w:r>
      <w:r w:rsidR="00523256">
        <w:rPr>
          <w:lang w:eastAsia="ar-SA"/>
        </w:rPr>
        <w:t>t</w:t>
      </w:r>
      <w:r w:rsidR="00200F18">
        <w:rPr>
          <w:lang w:eastAsia="ar-SA"/>
        </w:rPr>
        <w:t xml:space="preserve"> moeten worden. </w:t>
      </w:r>
    </w:p>
    <w:p w14:paraId="6B3A8966" w14:textId="77777777" w:rsidR="003A32D7" w:rsidRDefault="003A32D7"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6B3A8969" w14:textId="77777777" w:rsidTr="00B06CE6">
        <w:tc>
          <w:tcPr>
            <w:tcW w:w="6912" w:type="dxa"/>
            <w:tcBorders>
              <w:top w:val="single" w:sz="12" w:space="0" w:color="auto"/>
              <w:left w:val="single" w:sz="12" w:space="0" w:color="auto"/>
              <w:bottom w:val="single" w:sz="12" w:space="0" w:color="auto"/>
            </w:tcBorders>
            <w:shd w:val="clear" w:color="auto" w:fill="D0CECE"/>
          </w:tcPr>
          <w:p w14:paraId="6B3A8967"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B3A8968" w14:textId="77777777" w:rsidR="002A310E" w:rsidRPr="00EA0AA8" w:rsidRDefault="002A310E" w:rsidP="00382AE3">
            <w:pPr>
              <w:rPr>
                <w:b/>
              </w:rPr>
            </w:pPr>
            <w:r w:rsidRPr="00EA0AA8">
              <w:rPr>
                <w:b/>
              </w:rPr>
              <w:t>Score</w:t>
            </w:r>
          </w:p>
        </w:tc>
      </w:tr>
      <w:tr w:rsidR="002A310E" w14:paraId="6B3A896C" w14:textId="77777777" w:rsidTr="00382AE3">
        <w:tc>
          <w:tcPr>
            <w:tcW w:w="6912" w:type="dxa"/>
            <w:tcBorders>
              <w:top w:val="single" w:sz="12" w:space="0" w:color="auto"/>
              <w:left w:val="single" w:sz="12" w:space="0" w:color="auto"/>
            </w:tcBorders>
            <w:shd w:val="clear" w:color="auto" w:fill="auto"/>
          </w:tcPr>
          <w:p w14:paraId="6B3A896A" w14:textId="77777777" w:rsidR="002A310E" w:rsidRDefault="008A646F" w:rsidP="00382AE3">
            <w:r>
              <w:t>Helder vastgelegd evaluatiebeleid</w:t>
            </w:r>
          </w:p>
        </w:tc>
        <w:tc>
          <w:tcPr>
            <w:tcW w:w="955" w:type="dxa"/>
            <w:tcBorders>
              <w:top w:val="single" w:sz="12" w:space="0" w:color="auto"/>
              <w:right w:val="single" w:sz="12" w:space="0" w:color="auto"/>
            </w:tcBorders>
            <w:shd w:val="clear" w:color="auto" w:fill="auto"/>
          </w:tcPr>
          <w:p w14:paraId="6B3A896B" w14:textId="77777777" w:rsidR="002A310E" w:rsidRDefault="001E40BD" w:rsidP="00382AE3">
            <w:r>
              <w:t>4</w:t>
            </w:r>
          </w:p>
        </w:tc>
      </w:tr>
      <w:tr w:rsidR="002A310E" w14:paraId="6B3A896F" w14:textId="77777777" w:rsidTr="00382AE3">
        <w:tc>
          <w:tcPr>
            <w:tcW w:w="6912" w:type="dxa"/>
            <w:tcBorders>
              <w:left w:val="single" w:sz="12" w:space="0" w:color="auto"/>
            </w:tcBorders>
            <w:shd w:val="clear" w:color="auto" w:fill="auto"/>
          </w:tcPr>
          <w:p w14:paraId="6B3A896D" w14:textId="77777777" w:rsidR="002A310E" w:rsidRDefault="008A646F" w:rsidP="00382AE3">
            <w:r>
              <w:t>Inrichting evaluatiefunctie</w:t>
            </w:r>
          </w:p>
        </w:tc>
        <w:tc>
          <w:tcPr>
            <w:tcW w:w="955" w:type="dxa"/>
            <w:tcBorders>
              <w:right w:val="single" w:sz="12" w:space="0" w:color="auto"/>
            </w:tcBorders>
            <w:shd w:val="clear" w:color="auto" w:fill="auto"/>
          </w:tcPr>
          <w:p w14:paraId="6B3A896E" w14:textId="77777777" w:rsidR="002A310E" w:rsidRDefault="00203549" w:rsidP="00382AE3">
            <w:r>
              <w:t>4</w:t>
            </w:r>
          </w:p>
        </w:tc>
      </w:tr>
      <w:tr w:rsidR="002A310E" w14:paraId="6B3A8972" w14:textId="77777777" w:rsidTr="00382AE3">
        <w:tc>
          <w:tcPr>
            <w:tcW w:w="6912" w:type="dxa"/>
            <w:tcBorders>
              <w:left w:val="single" w:sz="12" w:space="0" w:color="auto"/>
            </w:tcBorders>
            <w:shd w:val="clear" w:color="auto" w:fill="auto"/>
          </w:tcPr>
          <w:p w14:paraId="6B3A8970" w14:textId="77777777" w:rsidR="002A310E" w:rsidRDefault="008A646F" w:rsidP="00382AE3">
            <w:r>
              <w:t>Onafhankelijkheid eval</w:t>
            </w:r>
            <w:r w:rsidR="00537DB3">
              <w:t>uatie-</w:t>
            </w:r>
            <w:r>
              <w:t>eenheid</w:t>
            </w:r>
          </w:p>
        </w:tc>
        <w:tc>
          <w:tcPr>
            <w:tcW w:w="955" w:type="dxa"/>
            <w:tcBorders>
              <w:right w:val="single" w:sz="12" w:space="0" w:color="auto"/>
            </w:tcBorders>
            <w:shd w:val="clear" w:color="auto" w:fill="auto"/>
          </w:tcPr>
          <w:p w14:paraId="6B3A8971" w14:textId="77777777" w:rsidR="002A310E" w:rsidRDefault="00826F94" w:rsidP="00382AE3">
            <w:r>
              <w:t>4</w:t>
            </w:r>
          </w:p>
        </w:tc>
      </w:tr>
      <w:tr w:rsidR="00AA4C2B" w14:paraId="6B3A8975" w14:textId="77777777" w:rsidTr="00382AE3">
        <w:tc>
          <w:tcPr>
            <w:tcW w:w="6912" w:type="dxa"/>
            <w:tcBorders>
              <w:left w:val="single" w:sz="12" w:space="0" w:color="auto"/>
            </w:tcBorders>
            <w:shd w:val="clear" w:color="auto" w:fill="auto"/>
          </w:tcPr>
          <w:p w14:paraId="6B3A8973" w14:textId="77777777" w:rsidR="00AA4C2B" w:rsidRDefault="00AA4C2B" w:rsidP="00382AE3">
            <w:r>
              <w:t>Reikwijdte en relevantie evaluaties</w:t>
            </w:r>
          </w:p>
        </w:tc>
        <w:tc>
          <w:tcPr>
            <w:tcW w:w="955" w:type="dxa"/>
            <w:tcBorders>
              <w:right w:val="single" w:sz="12" w:space="0" w:color="auto"/>
            </w:tcBorders>
            <w:shd w:val="clear" w:color="auto" w:fill="auto"/>
          </w:tcPr>
          <w:p w14:paraId="6B3A8974" w14:textId="77777777" w:rsidR="00AA4C2B" w:rsidRDefault="00AA089E" w:rsidP="00382AE3">
            <w:r>
              <w:t>4</w:t>
            </w:r>
          </w:p>
        </w:tc>
      </w:tr>
      <w:tr w:rsidR="002A310E" w14:paraId="6B3A8978" w14:textId="77777777" w:rsidTr="00382AE3">
        <w:tc>
          <w:tcPr>
            <w:tcW w:w="6912" w:type="dxa"/>
            <w:tcBorders>
              <w:left w:val="single" w:sz="12" w:space="0" w:color="auto"/>
              <w:bottom w:val="single" w:sz="12" w:space="0" w:color="auto"/>
            </w:tcBorders>
            <w:shd w:val="clear" w:color="auto" w:fill="auto"/>
          </w:tcPr>
          <w:p w14:paraId="6B3A8976" w14:textId="77777777" w:rsidR="002A310E" w:rsidRDefault="008A646F" w:rsidP="00382AE3">
            <w:r>
              <w:t>Follow up aanbevelingen evaluaties</w:t>
            </w:r>
          </w:p>
        </w:tc>
        <w:tc>
          <w:tcPr>
            <w:tcW w:w="955" w:type="dxa"/>
            <w:tcBorders>
              <w:bottom w:val="single" w:sz="12" w:space="0" w:color="auto"/>
              <w:right w:val="single" w:sz="12" w:space="0" w:color="auto"/>
            </w:tcBorders>
            <w:shd w:val="clear" w:color="auto" w:fill="auto"/>
          </w:tcPr>
          <w:p w14:paraId="6B3A8977" w14:textId="77777777" w:rsidR="002A310E" w:rsidRDefault="00AE50D5" w:rsidP="00382AE3">
            <w:r>
              <w:t>2</w:t>
            </w:r>
          </w:p>
        </w:tc>
      </w:tr>
      <w:tr w:rsidR="002A310E" w:rsidRPr="00EA0AA8" w14:paraId="6B3A897B" w14:textId="77777777" w:rsidTr="00B06CE6">
        <w:tc>
          <w:tcPr>
            <w:tcW w:w="6912" w:type="dxa"/>
            <w:tcBorders>
              <w:top w:val="single" w:sz="12" w:space="0" w:color="auto"/>
              <w:left w:val="single" w:sz="12" w:space="0" w:color="auto"/>
              <w:bottom w:val="single" w:sz="12" w:space="0" w:color="auto"/>
            </w:tcBorders>
            <w:shd w:val="clear" w:color="auto" w:fill="D0CECE"/>
          </w:tcPr>
          <w:p w14:paraId="6B3A8979"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3A897A" w14:textId="77777777" w:rsidR="002A310E" w:rsidRPr="00EA0AA8" w:rsidRDefault="00AA089E" w:rsidP="00382AE3">
            <w:pPr>
              <w:rPr>
                <w:b/>
              </w:rPr>
            </w:pPr>
            <w:r>
              <w:rPr>
                <w:b/>
              </w:rPr>
              <w:t>4</w:t>
            </w:r>
          </w:p>
        </w:tc>
      </w:tr>
    </w:tbl>
    <w:p w14:paraId="6B3A897C" w14:textId="77777777" w:rsidR="002A310E" w:rsidRDefault="002A310E" w:rsidP="00326699"/>
    <w:p w14:paraId="6B3A897D" w14:textId="3EE1B2ED" w:rsidR="00E20A86" w:rsidRDefault="00D32F98" w:rsidP="00491FFC">
      <w:pPr>
        <w:ind w:firstLine="227"/>
      </w:pPr>
      <w:r w:rsidRPr="00193994">
        <w:t>Ver</w:t>
      </w:r>
      <w:r w:rsidR="003A469B">
        <w:t>andering sinds 2015:</w:t>
      </w:r>
      <w:r w:rsidRPr="00193994">
        <w:t xml:space="preserve"> </w:t>
      </w:r>
      <w:r w:rsidR="00AF4978">
        <w:t>neutraal</w:t>
      </w:r>
      <w:r w:rsidR="00AF4978" w:rsidRPr="00193994">
        <w:t xml:space="preserve"> = </w:t>
      </w:r>
      <w:r w:rsidR="00AF4978" w:rsidRPr="00193994">
        <w:sym w:font="Wingdings" w:char="F0E8"/>
      </w:r>
    </w:p>
    <w:p w14:paraId="7399F31B" w14:textId="77777777" w:rsidR="00514A54" w:rsidRPr="009720A7" w:rsidRDefault="00514A54" w:rsidP="00491FFC">
      <w:pPr>
        <w:ind w:firstLine="227"/>
        <w:rPr>
          <w:b/>
        </w:rPr>
      </w:pPr>
    </w:p>
    <w:p w14:paraId="6B3A897E" w14:textId="77777777" w:rsidR="00DE343C" w:rsidRPr="0091776E" w:rsidRDefault="0091776E" w:rsidP="0091776E">
      <w:pPr>
        <w:pStyle w:val="Heading2"/>
        <w:tabs>
          <w:tab w:val="left" w:pos="-1162"/>
          <w:tab w:val="left" w:pos="0"/>
          <w:tab w:val="num" w:pos="1160"/>
        </w:tabs>
        <w:spacing w:line="240" w:lineRule="auto"/>
        <w:ind w:hanging="1162"/>
      </w:pPr>
      <w:bookmarkStart w:id="36" w:name="_Toc348364671"/>
      <w:bookmarkStart w:id="37" w:name="_Toc491437350"/>
      <w:r>
        <w:t>4</w:t>
      </w:r>
      <w:r w:rsidR="004D372F" w:rsidRPr="004D372F">
        <w:t>.</w:t>
      </w:r>
      <w:r w:rsidR="00A74DEC">
        <w:t>6</w:t>
      </w:r>
      <w:r w:rsidR="004D372F">
        <w:tab/>
      </w:r>
      <w:r w:rsidR="00DE343C" w:rsidRPr="004D372F">
        <w:t>Human Resource Management</w:t>
      </w:r>
      <w:bookmarkEnd w:id="36"/>
      <w:bookmarkEnd w:id="37"/>
    </w:p>
    <w:p w14:paraId="6B3A897F" w14:textId="57B2080C" w:rsidR="00E7106C" w:rsidRDefault="0021097B" w:rsidP="0021097B">
      <w:r>
        <w:t>De AsDB heeft ruim 3000 werknemers, waarvan er ruim 2300 op het hoofdkantoor werken en onge</w:t>
      </w:r>
      <w:r w:rsidR="002B1CB1">
        <w:t xml:space="preserve">veer 700 op de landenkantoren. </w:t>
      </w:r>
      <w:r w:rsidR="007B6E6F">
        <w:t xml:space="preserve">De Bank is in staat om </w:t>
      </w:r>
      <w:r w:rsidR="006E04D8">
        <w:t xml:space="preserve">werknemers te rekruteren, behouden en gebruiken met de juiste mix aan vaardigheden om haar programma’s en </w:t>
      </w:r>
      <w:r w:rsidR="00C02AF8">
        <w:t>strategieën</w:t>
      </w:r>
      <w:r w:rsidR="006E04D8">
        <w:t xml:space="preserve"> te implementeren</w:t>
      </w:r>
      <w:r w:rsidR="00523256">
        <w:t>.</w:t>
      </w:r>
      <w:r w:rsidR="006E04D8">
        <w:t xml:space="preserve"> Er blijft echter een tekort aan vaardigheden op sommige terreinen zoals de private sector. </w:t>
      </w:r>
    </w:p>
    <w:p w14:paraId="6B3A8980" w14:textId="77777777" w:rsidR="00EF2F08" w:rsidRDefault="00EF2F08" w:rsidP="0021097B"/>
    <w:p w14:paraId="6B3A8981" w14:textId="3AA4E952" w:rsidR="001F204D" w:rsidRDefault="001F204D" w:rsidP="0021097B">
      <w:r>
        <w:t>De A</w:t>
      </w:r>
      <w:r w:rsidR="00DA601E">
        <w:t>s</w:t>
      </w:r>
      <w:r>
        <w:t>DB ziet een personeelsverloop van 8 – 12% als een ideaal niveau om zowel vaardigheden voor de organisatie te behouden als ook om nieuw talent aan te trekken</w:t>
      </w:r>
      <w:r w:rsidR="00523256">
        <w:t>.</w:t>
      </w:r>
      <w:r>
        <w:t xml:space="preserve"> In 2015 lagen deze cijfers lager voor alle de drie de medewerkerscategorieën</w:t>
      </w:r>
      <w:r w:rsidR="0005018E">
        <w:t xml:space="preserve"> - </w:t>
      </w:r>
      <w:r>
        <w:t>internationale medewerkers, nationale medewerkers en ondersteunend personeel (respectievelijk 7,3% 4,7% en 3,4%)</w:t>
      </w:r>
      <w:r w:rsidR="00523256">
        <w:t>.</w:t>
      </w:r>
      <w:r>
        <w:t xml:space="preserve"> In 2016 waren deze percentages verbeterd tot 8,5%, 8,1% en 5,7%</w:t>
      </w:r>
      <w:r w:rsidR="0005018E">
        <w:t>. Het gemiddelde in 2016 was</w:t>
      </w:r>
      <w:r>
        <w:t xml:space="preserve"> </w:t>
      </w:r>
      <w:r w:rsidR="00C45561">
        <w:t xml:space="preserve">met </w:t>
      </w:r>
      <w:r>
        <w:t>7,3%</w:t>
      </w:r>
      <w:r w:rsidR="00C45561">
        <w:t xml:space="preserve"> </w:t>
      </w:r>
      <w:r>
        <w:t>echter nog steeds te laag gegev</w:t>
      </w:r>
      <w:r w:rsidR="00844CC2">
        <w:t xml:space="preserve">en de doelstelling van de Bank. De AsDB kent geen maximum </w:t>
      </w:r>
      <w:r w:rsidR="00D5720B">
        <w:t>duur van functiebekleding</w:t>
      </w:r>
      <w:r w:rsidR="00844CC2">
        <w:t xml:space="preserve">, waardoor de interne mobiliteit laag is. Om dit punt te adresseren is de Bank een intern mobiliteitsraamwerk aan het ontwikkelen. </w:t>
      </w:r>
    </w:p>
    <w:p w14:paraId="6B3A8982" w14:textId="77777777" w:rsidR="00107507" w:rsidRDefault="00107507" w:rsidP="0021097B"/>
    <w:p w14:paraId="6B3A8983" w14:textId="77777777" w:rsidR="00EF2F08" w:rsidRDefault="008060D3" w:rsidP="0021097B">
      <w:r>
        <w:t xml:space="preserve">De </w:t>
      </w:r>
      <w:r w:rsidR="00EF2F08">
        <w:t xml:space="preserve">Bank heeft een mix aan </w:t>
      </w:r>
      <w:r w:rsidR="00C02AF8">
        <w:t>medewerkers</w:t>
      </w:r>
      <w:r w:rsidR="00EF2F08">
        <w:t xml:space="preserve"> uit alle lidstaten en regio’s. </w:t>
      </w:r>
      <w:r>
        <w:t xml:space="preserve">Daarmee is de diversiteit van medewerkers op het gebied van nationaliteit op orde. </w:t>
      </w:r>
      <w:r w:rsidR="005D624C">
        <w:t xml:space="preserve">Het </w:t>
      </w:r>
      <w:r w:rsidR="00EF2F08">
        <w:t>aantal vrouwen in leidinggevende functies is echter</w:t>
      </w:r>
      <w:r w:rsidR="005D624C">
        <w:t xml:space="preserve"> te laag. </w:t>
      </w:r>
      <w:r>
        <w:t xml:space="preserve">Hoewel de doelstelling van 25% vrouwen in </w:t>
      </w:r>
      <w:r w:rsidR="00AE50D5">
        <w:t>leidinggevende</w:t>
      </w:r>
      <w:r>
        <w:t xml:space="preserve"> functies net aan werd g</w:t>
      </w:r>
      <w:r w:rsidR="00AE50D5">
        <w:t xml:space="preserve">ehaald in 2015, werden </w:t>
      </w:r>
      <w:r>
        <w:t xml:space="preserve">maar een van de acht hoogste functies bekleed door een vrouw. </w:t>
      </w:r>
      <w:r w:rsidR="005D624C">
        <w:t xml:space="preserve"> </w:t>
      </w:r>
      <w:r w:rsidR="00EF2F08">
        <w:t xml:space="preserve"> </w:t>
      </w:r>
    </w:p>
    <w:p w14:paraId="6B3A8984" w14:textId="77777777" w:rsidR="00EF2F08" w:rsidRDefault="00EF2F08" w:rsidP="0021097B"/>
    <w:p w14:paraId="6B3A8985" w14:textId="3A63ED06" w:rsidR="009E6E49" w:rsidRDefault="00EF2F08" w:rsidP="0021097B">
      <w:r>
        <w:t>In bredere zin is d</w:t>
      </w:r>
      <w:r w:rsidR="000844C7">
        <w:t>e gender</w:t>
      </w:r>
      <w:r>
        <w:t xml:space="preserve">balans in de Bank </w:t>
      </w:r>
      <w:r w:rsidR="00222637">
        <w:t xml:space="preserve">zorgelijk. </w:t>
      </w:r>
      <w:r w:rsidR="009E6E49">
        <w:t xml:space="preserve">Het percentage vrouwen in internationale functies is gedaald van 34,5% in 2014 naar 33,8% in 2015, terwijl </w:t>
      </w:r>
      <w:r w:rsidR="0095787D">
        <w:t>de doelstelling voor 2016 37% was</w:t>
      </w:r>
      <w:r w:rsidR="009E6E49">
        <w:t>. Ook zorgelijk is dat v</w:t>
      </w:r>
      <w:r w:rsidR="000844C7">
        <w:t>rouwen de meest kritische feedback</w:t>
      </w:r>
      <w:r w:rsidR="009E6E49">
        <w:t xml:space="preserve"> gaven</w:t>
      </w:r>
      <w:r w:rsidR="000844C7">
        <w:t xml:space="preserve"> in</w:t>
      </w:r>
      <w:r w:rsidR="00B20A48">
        <w:t xml:space="preserve"> de </w:t>
      </w:r>
      <w:r w:rsidR="00B20A48">
        <w:rPr>
          <w:i/>
        </w:rPr>
        <w:t>Staff Engagement Survey</w:t>
      </w:r>
      <w:r w:rsidR="00B20A48">
        <w:t xml:space="preserve">, waarmee de dalende trend van </w:t>
      </w:r>
      <w:r w:rsidR="009E6E49">
        <w:t xml:space="preserve">de </w:t>
      </w:r>
      <w:r w:rsidR="00B20A48">
        <w:t>tevredenheid van vrouwelijke werknemers zich voortzet</w:t>
      </w:r>
      <w:r w:rsidR="00523256">
        <w:t>.</w:t>
      </w:r>
      <w:r w:rsidR="00B20A48">
        <w:t xml:space="preserve"> </w:t>
      </w:r>
    </w:p>
    <w:p w14:paraId="6B3A8986" w14:textId="638FCCC3" w:rsidR="002A310E" w:rsidRDefault="002A310E" w:rsidP="00326699"/>
    <w:p w14:paraId="1EAF5053" w14:textId="165DEEFF" w:rsidR="00514A54" w:rsidRDefault="00514A54" w:rsidP="00326699"/>
    <w:p w14:paraId="2CA664E9" w14:textId="2EC019B9" w:rsidR="00514A54" w:rsidRDefault="00514A54" w:rsidP="00326699"/>
    <w:p w14:paraId="1AA78DE6" w14:textId="77777777" w:rsidR="00514A54" w:rsidRDefault="00514A54"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6B3A8989" w14:textId="77777777" w:rsidTr="00B06CE6">
        <w:tc>
          <w:tcPr>
            <w:tcW w:w="6912" w:type="dxa"/>
            <w:tcBorders>
              <w:top w:val="single" w:sz="12" w:space="0" w:color="auto"/>
              <w:left w:val="single" w:sz="12" w:space="0" w:color="auto"/>
              <w:bottom w:val="single" w:sz="12" w:space="0" w:color="auto"/>
            </w:tcBorders>
            <w:shd w:val="clear" w:color="auto" w:fill="D0CECE"/>
          </w:tcPr>
          <w:p w14:paraId="6B3A8987" w14:textId="77777777" w:rsidR="002A310E" w:rsidRPr="00EA0AA8" w:rsidRDefault="002A310E" w:rsidP="00382AE3">
            <w:pPr>
              <w:rPr>
                <w:b/>
              </w:rPr>
            </w:pPr>
            <w:r w:rsidRPr="00EA0AA8">
              <w:rPr>
                <w:b/>
              </w:rPr>
              <w:lastRenderedPageBreak/>
              <w:t>Onderdeel</w:t>
            </w:r>
          </w:p>
        </w:tc>
        <w:tc>
          <w:tcPr>
            <w:tcW w:w="955" w:type="dxa"/>
            <w:tcBorders>
              <w:top w:val="single" w:sz="12" w:space="0" w:color="auto"/>
              <w:bottom w:val="single" w:sz="12" w:space="0" w:color="auto"/>
              <w:right w:val="single" w:sz="12" w:space="0" w:color="auto"/>
            </w:tcBorders>
            <w:shd w:val="clear" w:color="auto" w:fill="D0CECE"/>
          </w:tcPr>
          <w:p w14:paraId="6B3A8988" w14:textId="77777777" w:rsidR="002A310E" w:rsidRPr="00EA0AA8" w:rsidRDefault="002A310E" w:rsidP="00382AE3">
            <w:pPr>
              <w:rPr>
                <w:b/>
              </w:rPr>
            </w:pPr>
            <w:r w:rsidRPr="00EA0AA8">
              <w:rPr>
                <w:b/>
              </w:rPr>
              <w:t>Score</w:t>
            </w:r>
          </w:p>
        </w:tc>
      </w:tr>
      <w:tr w:rsidR="002A310E" w14:paraId="6B3A898C" w14:textId="77777777" w:rsidTr="00382AE3">
        <w:tc>
          <w:tcPr>
            <w:tcW w:w="6912" w:type="dxa"/>
            <w:tcBorders>
              <w:top w:val="single" w:sz="12" w:space="0" w:color="auto"/>
              <w:left w:val="single" w:sz="12" w:space="0" w:color="auto"/>
            </w:tcBorders>
            <w:shd w:val="clear" w:color="auto" w:fill="auto"/>
          </w:tcPr>
          <w:p w14:paraId="6B3A898A" w14:textId="77777777" w:rsidR="002A310E" w:rsidRDefault="00B52E2F" w:rsidP="00382AE3">
            <w:r>
              <w:t xml:space="preserve">Mobiliteit </w:t>
            </w:r>
          </w:p>
        </w:tc>
        <w:tc>
          <w:tcPr>
            <w:tcW w:w="955" w:type="dxa"/>
            <w:tcBorders>
              <w:top w:val="single" w:sz="12" w:space="0" w:color="auto"/>
              <w:right w:val="single" w:sz="12" w:space="0" w:color="auto"/>
            </w:tcBorders>
            <w:shd w:val="clear" w:color="auto" w:fill="auto"/>
          </w:tcPr>
          <w:p w14:paraId="6B3A898B" w14:textId="77777777" w:rsidR="002A310E" w:rsidRDefault="0005018E" w:rsidP="00382AE3">
            <w:r>
              <w:t>2</w:t>
            </w:r>
          </w:p>
        </w:tc>
      </w:tr>
      <w:tr w:rsidR="002A310E" w14:paraId="6B3A898F" w14:textId="77777777" w:rsidTr="00382AE3">
        <w:tc>
          <w:tcPr>
            <w:tcW w:w="6912" w:type="dxa"/>
            <w:tcBorders>
              <w:left w:val="single" w:sz="12" w:space="0" w:color="auto"/>
            </w:tcBorders>
            <w:shd w:val="clear" w:color="auto" w:fill="auto"/>
          </w:tcPr>
          <w:p w14:paraId="6B3A898D" w14:textId="77777777" w:rsidR="002A310E" w:rsidRDefault="00B52E2F" w:rsidP="00B52E2F">
            <w:r>
              <w:t xml:space="preserve">Kwaliteit </w:t>
            </w:r>
          </w:p>
        </w:tc>
        <w:tc>
          <w:tcPr>
            <w:tcW w:w="955" w:type="dxa"/>
            <w:tcBorders>
              <w:right w:val="single" w:sz="12" w:space="0" w:color="auto"/>
            </w:tcBorders>
            <w:shd w:val="clear" w:color="auto" w:fill="auto"/>
          </w:tcPr>
          <w:p w14:paraId="6B3A898E" w14:textId="77777777" w:rsidR="002A310E" w:rsidRDefault="006E04D8" w:rsidP="00382AE3">
            <w:r>
              <w:t>3</w:t>
            </w:r>
          </w:p>
        </w:tc>
      </w:tr>
      <w:tr w:rsidR="002A310E" w14:paraId="6B3A8992" w14:textId="77777777" w:rsidTr="00382AE3">
        <w:tc>
          <w:tcPr>
            <w:tcW w:w="6912" w:type="dxa"/>
            <w:tcBorders>
              <w:left w:val="single" w:sz="12" w:space="0" w:color="auto"/>
            </w:tcBorders>
            <w:shd w:val="clear" w:color="auto" w:fill="auto"/>
          </w:tcPr>
          <w:p w14:paraId="6B3A8990" w14:textId="77777777" w:rsidR="002A310E" w:rsidRDefault="00B52E2F" w:rsidP="00382AE3">
            <w:r>
              <w:t>Diversiteit</w:t>
            </w:r>
          </w:p>
        </w:tc>
        <w:tc>
          <w:tcPr>
            <w:tcW w:w="955" w:type="dxa"/>
            <w:tcBorders>
              <w:right w:val="single" w:sz="12" w:space="0" w:color="auto"/>
            </w:tcBorders>
            <w:shd w:val="clear" w:color="auto" w:fill="auto"/>
          </w:tcPr>
          <w:p w14:paraId="6B3A8991" w14:textId="37CFF9F4" w:rsidR="002A310E" w:rsidRDefault="00BF2FD4" w:rsidP="00382AE3">
            <w:r>
              <w:t>3</w:t>
            </w:r>
          </w:p>
        </w:tc>
      </w:tr>
      <w:tr w:rsidR="002A310E" w14:paraId="6B3A8995" w14:textId="77777777" w:rsidTr="00382AE3">
        <w:tc>
          <w:tcPr>
            <w:tcW w:w="6912" w:type="dxa"/>
            <w:tcBorders>
              <w:left w:val="single" w:sz="12" w:space="0" w:color="auto"/>
              <w:bottom w:val="single" w:sz="12" w:space="0" w:color="auto"/>
            </w:tcBorders>
            <w:shd w:val="clear" w:color="auto" w:fill="auto"/>
          </w:tcPr>
          <w:p w14:paraId="6B3A8993" w14:textId="77777777" w:rsidR="002A310E" w:rsidRDefault="00B52E2F" w:rsidP="00382AE3">
            <w:r>
              <w:t>Genderbalans</w:t>
            </w:r>
          </w:p>
        </w:tc>
        <w:tc>
          <w:tcPr>
            <w:tcW w:w="955" w:type="dxa"/>
            <w:tcBorders>
              <w:bottom w:val="single" w:sz="12" w:space="0" w:color="auto"/>
              <w:right w:val="single" w:sz="12" w:space="0" w:color="auto"/>
            </w:tcBorders>
            <w:shd w:val="clear" w:color="auto" w:fill="auto"/>
          </w:tcPr>
          <w:p w14:paraId="6B3A8994" w14:textId="77777777" w:rsidR="002A310E" w:rsidRDefault="00222637" w:rsidP="00382AE3">
            <w:r>
              <w:t>2</w:t>
            </w:r>
          </w:p>
        </w:tc>
      </w:tr>
      <w:tr w:rsidR="002A310E" w:rsidRPr="00EA0AA8" w14:paraId="6B3A8998" w14:textId="77777777" w:rsidTr="00B06CE6">
        <w:tc>
          <w:tcPr>
            <w:tcW w:w="6912" w:type="dxa"/>
            <w:tcBorders>
              <w:top w:val="single" w:sz="12" w:space="0" w:color="auto"/>
              <w:left w:val="single" w:sz="12" w:space="0" w:color="auto"/>
              <w:bottom w:val="single" w:sz="12" w:space="0" w:color="auto"/>
            </w:tcBorders>
            <w:shd w:val="clear" w:color="auto" w:fill="D0CECE"/>
          </w:tcPr>
          <w:p w14:paraId="6B3A8996"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3A8997" w14:textId="27DC083C" w:rsidR="002A310E" w:rsidRPr="00EA0AA8" w:rsidRDefault="0045548F" w:rsidP="00382AE3">
            <w:pPr>
              <w:rPr>
                <w:b/>
              </w:rPr>
            </w:pPr>
            <w:r>
              <w:rPr>
                <w:b/>
              </w:rPr>
              <w:t>2</w:t>
            </w:r>
          </w:p>
        </w:tc>
      </w:tr>
    </w:tbl>
    <w:p w14:paraId="6B3A8999" w14:textId="77777777" w:rsidR="002A310E" w:rsidRDefault="002A310E" w:rsidP="00326699"/>
    <w:p w14:paraId="6B3A899A" w14:textId="4373C138" w:rsidR="00D32F98" w:rsidRDefault="00D32F98" w:rsidP="00491FFC">
      <w:pPr>
        <w:ind w:firstLine="227"/>
        <w:rPr>
          <w:rFonts w:ascii="Segoe UI Emoji" w:eastAsia="Segoe UI Emoji" w:hAnsi="Segoe UI Emoji" w:cs="Segoe UI Emoji"/>
          <w:b/>
        </w:rPr>
      </w:pPr>
      <w:r w:rsidRPr="00193994">
        <w:t>Ver</w:t>
      </w:r>
      <w:r w:rsidR="00AF4978">
        <w:t xml:space="preserve">andering sinds 2015: </w:t>
      </w:r>
      <w:r>
        <w:t xml:space="preserve">negatief = </w:t>
      </w:r>
      <w:r w:rsidR="00900C34">
        <w:rPr>
          <w:rFonts w:ascii="Segoe UI Emoji" w:eastAsia="Segoe UI Emoji" w:hAnsi="Segoe UI Emoji" w:cs="Segoe UI Emoji"/>
          <w:b/>
        </w:rPr>
        <w:sym w:font="Wingdings" w:char="F0EA"/>
      </w:r>
    </w:p>
    <w:p w14:paraId="4AC86C7E" w14:textId="77777777" w:rsidR="00514A54" w:rsidRDefault="00514A54" w:rsidP="00491FFC">
      <w:pPr>
        <w:ind w:firstLine="227"/>
        <w:rPr>
          <w:b/>
        </w:rPr>
      </w:pPr>
    </w:p>
    <w:p w14:paraId="6B3A899B" w14:textId="77777777" w:rsidR="00DE343C" w:rsidRDefault="0091776E" w:rsidP="0091776E">
      <w:pPr>
        <w:pStyle w:val="Heading2"/>
        <w:tabs>
          <w:tab w:val="left" w:pos="-1162"/>
          <w:tab w:val="left" w:pos="0"/>
          <w:tab w:val="num" w:pos="1160"/>
        </w:tabs>
        <w:spacing w:line="240" w:lineRule="auto"/>
        <w:ind w:hanging="1162"/>
      </w:pPr>
      <w:bookmarkStart w:id="38" w:name="_Toc491437351"/>
      <w:r>
        <w:t>4</w:t>
      </w:r>
      <w:r w:rsidR="00326699">
        <w:t>.</w:t>
      </w:r>
      <w:r w:rsidR="00A74DEC">
        <w:t>7</w:t>
      </w:r>
      <w:r w:rsidR="004D372F" w:rsidRPr="004D372F">
        <w:t xml:space="preserve"> </w:t>
      </w:r>
      <w:r w:rsidR="004D372F">
        <w:tab/>
      </w:r>
      <w:r w:rsidR="00DE343C" w:rsidRPr="004D372F">
        <w:t xml:space="preserve">Financiële </w:t>
      </w:r>
      <w:r w:rsidR="00DB7D94">
        <w:t>stabiliteit</w:t>
      </w:r>
      <w:bookmarkEnd w:id="38"/>
    </w:p>
    <w:p w14:paraId="6B3A899C" w14:textId="12D1E478" w:rsidR="001967BE" w:rsidRDefault="001967BE" w:rsidP="001967BE">
      <w:pPr>
        <w:suppressAutoHyphens/>
        <w:rPr>
          <w:lang w:eastAsia="ar-SA"/>
        </w:rPr>
      </w:pPr>
      <w:r w:rsidRPr="001E7FA4">
        <w:rPr>
          <w:lang w:eastAsia="ar-SA"/>
        </w:rPr>
        <w:t xml:space="preserve">De AsDB heeft een </w:t>
      </w:r>
      <w:r>
        <w:rPr>
          <w:lang w:eastAsia="ar-SA"/>
        </w:rPr>
        <w:t xml:space="preserve">stabiele </w:t>
      </w:r>
      <w:r w:rsidRPr="002C33DE">
        <w:rPr>
          <w:i/>
          <w:lang w:eastAsia="ar-SA"/>
        </w:rPr>
        <w:t>AAA-rating</w:t>
      </w:r>
      <w:r>
        <w:rPr>
          <w:lang w:eastAsia="ar-SA"/>
        </w:rPr>
        <w:t xml:space="preserve"> bij de diverse </w:t>
      </w:r>
      <w:r>
        <w:rPr>
          <w:i/>
          <w:lang w:eastAsia="ar-SA"/>
        </w:rPr>
        <w:t>rating agencies</w:t>
      </w:r>
      <w:r w:rsidRPr="001E7FA4">
        <w:rPr>
          <w:lang w:eastAsia="ar-SA"/>
        </w:rPr>
        <w:t>.</w:t>
      </w:r>
      <w:r>
        <w:rPr>
          <w:lang w:eastAsia="ar-SA"/>
        </w:rPr>
        <w:t xml:space="preserve"> De Bank voert een conservatief beleid om deze </w:t>
      </w:r>
      <w:r>
        <w:rPr>
          <w:i/>
          <w:lang w:eastAsia="ar-SA"/>
        </w:rPr>
        <w:t xml:space="preserve">rating </w:t>
      </w:r>
      <w:r>
        <w:rPr>
          <w:lang w:eastAsia="ar-SA"/>
        </w:rPr>
        <w:t>te kunnen handhaven</w:t>
      </w:r>
      <w:r>
        <w:rPr>
          <w:i/>
          <w:lang w:eastAsia="ar-SA"/>
        </w:rPr>
        <w:t xml:space="preserve">, </w:t>
      </w:r>
      <w:r w:rsidRPr="001E23EB">
        <w:rPr>
          <w:lang w:eastAsia="ar-SA"/>
        </w:rPr>
        <w:t xml:space="preserve">onder meer door </w:t>
      </w:r>
      <w:r>
        <w:rPr>
          <w:lang w:eastAsia="ar-SA"/>
        </w:rPr>
        <w:t>een relatief hoge kapitaalbuffer aan te houden.</w:t>
      </w:r>
      <w:r w:rsidR="00AE50D5">
        <w:rPr>
          <w:lang w:eastAsia="ar-SA"/>
        </w:rPr>
        <w:t xml:space="preserve"> Deze buffer i</w:t>
      </w:r>
      <w:r w:rsidR="00BC54BD">
        <w:rPr>
          <w:lang w:eastAsia="ar-SA"/>
        </w:rPr>
        <w:t>s door de recente OCR-ADF-fusie</w:t>
      </w:r>
      <w:r w:rsidR="00AE50D5">
        <w:rPr>
          <w:lang w:eastAsia="ar-SA"/>
        </w:rPr>
        <w:t xml:space="preserve"> nog eens aanzienlijk versterkt.</w:t>
      </w:r>
      <w:r>
        <w:rPr>
          <w:lang w:eastAsia="ar-SA"/>
        </w:rPr>
        <w:t xml:space="preserve"> </w:t>
      </w:r>
      <w:r w:rsidR="00AE50D5">
        <w:rPr>
          <w:lang w:eastAsia="ar-SA"/>
        </w:rPr>
        <w:t xml:space="preserve">Ook de </w:t>
      </w:r>
      <w:r>
        <w:rPr>
          <w:lang w:eastAsia="ar-SA"/>
        </w:rPr>
        <w:t xml:space="preserve">liquiditeitspositie is goed. De Bank </w:t>
      </w:r>
      <w:r w:rsidRPr="001E7FA4">
        <w:rPr>
          <w:lang w:eastAsia="ar-SA"/>
        </w:rPr>
        <w:t xml:space="preserve">voert een solide financieel beheer: zo </w:t>
      </w:r>
      <w:r>
        <w:rPr>
          <w:lang w:eastAsia="ar-SA"/>
        </w:rPr>
        <w:t xml:space="preserve">heeft zij </w:t>
      </w:r>
      <w:r w:rsidRPr="001E7FA4">
        <w:rPr>
          <w:lang w:eastAsia="ar-SA"/>
        </w:rPr>
        <w:t xml:space="preserve">onder andere een </w:t>
      </w:r>
      <w:r>
        <w:rPr>
          <w:i/>
          <w:lang w:eastAsia="ar-SA"/>
        </w:rPr>
        <w:t>Office of Risk Management</w:t>
      </w:r>
      <w:r w:rsidRPr="001E7FA4">
        <w:rPr>
          <w:lang w:eastAsia="ar-SA"/>
        </w:rPr>
        <w:t>, d</w:t>
      </w:r>
      <w:r>
        <w:rPr>
          <w:lang w:eastAsia="ar-SA"/>
        </w:rPr>
        <w:t xml:space="preserve">at </w:t>
      </w:r>
      <w:r w:rsidRPr="001E7FA4">
        <w:rPr>
          <w:lang w:eastAsia="ar-SA"/>
        </w:rPr>
        <w:t xml:space="preserve">het </w:t>
      </w:r>
      <w:r>
        <w:rPr>
          <w:lang w:eastAsia="ar-SA"/>
        </w:rPr>
        <w:t>M</w:t>
      </w:r>
      <w:r w:rsidRPr="001E7FA4">
        <w:rPr>
          <w:lang w:eastAsia="ar-SA"/>
        </w:rPr>
        <w:t>anagement adviseert onafhankelijk van de operationele afdelingen. De financiële verslaglegging is op orde</w:t>
      </w:r>
      <w:r w:rsidR="008A7BDD">
        <w:rPr>
          <w:lang w:eastAsia="ar-SA"/>
        </w:rPr>
        <w:t>, evenals de samenhang tussen financiële en inhoudelijke rapportages</w:t>
      </w:r>
      <w:r>
        <w:rPr>
          <w:lang w:eastAsia="ar-SA"/>
        </w:rPr>
        <w:t xml:space="preserve">. </w:t>
      </w:r>
      <w:r w:rsidR="003712BC">
        <w:rPr>
          <w:lang w:eastAsia="ar-SA"/>
        </w:rPr>
        <w:t xml:space="preserve">Standard &amp; Poor’s beoordeelt het </w:t>
      </w:r>
      <w:r w:rsidR="00C02AF8">
        <w:rPr>
          <w:lang w:eastAsia="ar-SA"/>
        </w:rPr>
        <w:t>financiële</w:t>
      </w:r>
      <w:r w:rsidR="003712BC">
        <w:rPr>
          <w:lang w:eastAsia="ar-SA"/>
        </w:rPr>
        <w:t xml:space="preserve"> profiel van de Bank als ‘Very Strong’. </w:t>
      </w:r>
    </w:p>
    <w:p w14:paraId="6B3A899D" w14:textId="77777777" w:rsidR="00E91BAF" w:rsidRDefault="00E91BAF" w:rsidP="001967BE">
      <w:pPr>
        <w:suppressAutoHyphens/>
        <w:rPr>
          <w:lang w:eastAsia="ar-SA"/>
        </w:rPr>
      </w:pPr>
    </w:p>
    <w:p w14:paraId="6B3A899E" w14:textId="627719DE" w:rsidR="001967BE" w:rsidRDefault="001976C9" w:rsidP="001967BE">
      <w:pPr>
        <w:suppressAutoHyphens/>
        <w:rPr>
          <w:lang w:eastAsia="ar-SA"/>
        </w:rPr>
      </w:pPr>
      <w:r>
        <w:rPr>
          <w:lang w:eastAsia="ar-SA"/>
        </w:rPr>
        <w:t xml:space="preserve">Het (interne) </w:t>
      </w:r>
      <w:r>
        <w:rPr>
          <w:i/>
          <w:lang w:eastAsia="ar-SA"/>
        </w:rPr>
        <w:t>A</w:t>
      </w:r>
      <w:r w:rsidRPr="001E7FA4">
        <w:rPr>
          <w:i/>
          <w:lang w:eastAsia="ar-SA"/>
        </w:rPr>
        <w:t xml:space="preserve">dministrative </w:t>
      </w:r>
      <w:r>
        <w:rPr>
          <w:i/>
          <w:lang w:eastAsia="ar-SA"/>
        </w:rPr>
        <w:t>B</w:t>
      </w:r>
      <w:r w:rsidRPr="001E7FA4">
        <w:rPr>
          <w:i/>
          <w:lang w:eastAsia="ar-SA"/>
        </w:rPr>
        <w:t>udget</w:t>
      </w:r>
      <w:r w:rsidRPr="001E7FA4">
        <w:rPr>
          <w:lang w:eastAsia="ar-SA"/>
        </w:rPr>
        <w:t xml:space="preserve"> </w:t>
      </w:r>
      <w:r w:rsidR="003A6379">
        <w:rPr>
          <w:lang w:eastAsia="ar-SA"/>
        </w:rPr>
        <w:t xml:space="preserve">van de Bank is </w:t>
      </w:r>
      <w:r w:rsidRPr="001E7FA4">
        <w:rPr>
          <w:lang w:eastAsia="ar-SA"/>
        </w:rPr>
        <w:t>laag</w:t>
      </w:r>
      <w:r>
        <w:rPr>
          <w:lang w:eastAsia="ar-SA"/>
        </w:rPr>
        <w:t xml:space="preserve"> in vergelijking met de andere multilaterale ontwikkelingsbanken (MDBs)</w:t>
      </w:r>
      <w:r w:rsidR="005359C6">
        <w:rPr>
          <w:lang w:eastAsia="ar-SA"/>
        </w:rPr>
        <w:t>.</w:t>
      </w:r>
      <w:r w:rsidR="003A6379">
        <w:rPr>
          <w:lang w:eastAsia="ar-SA"/>
        </w:rPr>
        <w:t xml:space="preserve"> </w:t>
      </w:r>
      <w:r>
        <w:rPr>
          <w:lang w:eastAsia="ar-SA"/>
        </w:rPr>
        <w:t>Een aandachtspunt voor Nederland en de andere landen in de Kiesgroep is de onderuitputting van dit budget</w:t>
      </w:r>
      <w:r>
        <w:rPr>
          <w:i/>
          <w:lang w:eastAsia="ar-SA"/>
        </w:rPr>
        <w:t>.</w:t>
      </w:r>
      <w:r w:rsidR="00E91BAF">
        <w:rPr>
          <w:i/>
          <w:lang w:eastAsia="ar-SA"/>
        </w:rPr>
        <w:t xml:space="preserve"> </w:t>
      </w:r>
      <w:r w:rsidR="00ED528E">
        <w:rPr>
          <w:lang w:eastAsia="ar-SA"/>
        </w:rPr>
        <w:t>Zo bleef v</w:t>
      </w:r>
      <w:r w:rsidR="00E91BAF">
        <w:rPr>
          <w:lang w:eastAsia="ar-SA"/>
        </w:rPr>
        <w:t>an he</w:t>
      </w:r>
      <w:r w:rsidR="00D5720B">
        <w:rPr>
          <w:lang w:eastAsia="ar-SA"/>
        </w:rPr>
        <w:t>t budget van 2015 bleef 8% over</w:t>
      </w:r>
      <w:r w:rsidR="00E91BAF">
        <w:rPr>
          <w:lang w:eastAsia="ar-SA"/>
        </w:rPr>
        <w:t>.</w:t>
      </w:r>
      <w:r w:rsidR="00CC7D91">
        <w:rPr>
          <w:lang w:eastAsia="ar-SA"/>
        </w:rPr>
        <w:t xml:space="preserve"> Dit bevestigt het beeld van conservatief financieel beheer. </w:t>
      </w:r>
    </w:p>
    <w:p w14:paraId="6B3A899F" w14:textId="77777777" w:rsidR="001967BE" w:rsidRDefault="001967BE" w:rsidP="001967BE">
      <w:pPr>
        <w:suppressAutoHyphens/>
        <w:rPr>
          <w:lang w:eastAsia="ar-SA"/>
        </w:rPr>
      </w:pPr>
    </w:p>
    <w:p w14:paraId="6B3A89A0" w14:textId="7281ABE5" w:rsidR="001967BE" w:rsidRDefault="00E91BAF" w:rsidP="001967BE">
      <w:pPr>
        <w:suppressAutoHyphens/>
        <w:rPr>
          <w:lang w:eastAsia="ar-SA"/>
        </w:rPr>
      </w:pPr>
      <w:r>
        <w:rPr>
          <w:lang w:eastAsia="ar-SA"/>
        </w:rPr>
        <w:t xml:space="preserve">In 2016 vond de elfde middelenaanvulling plaats van het ADF. </w:t>
      </w:r>
      <w:r w:rsidR="003712BC">
        <w:rPr>
          <w:lang w:eastAsia="ar-SA"/>
        </w:rPr>
        <w:t xml:space="preserve">Met de </w:t>
      </w:r>
      <w:r w:rsidR="001967BE">
        <w:rPr>
          <w:bCs/>
          <w:szCs w:val="20"/>
          <w:lang w:eastAsia="ar-SA"/>
        </w:rPr>
        <w:t xml:space="preserve">samenvoeging van </w:t>
      </w:r>
      <w:r w:rsidR="00577ED4">
        <w:rPr>
          <w:bCs/>
          <w:szCs w:val="20"/>
          <w:lang w:eastAsia="ar-SA"/>
        </w:rPr>
        <w:t>het ADF</w:t>
      </w:r>
      <w:r w:rsidR="003D0C47">
        <w:rPr>
          <w:bCs/>
          <w:szCs w:val="20"/>
          <w:lang w:eastAsia="ar-SA"/>
        </w:rPr>
        <w:t>-</w:t>
      </w:r>
      <w:r w:rsidR="00577ED4">
        <w:rPr>
          <w:bCs/>
          <w:szCs w:val="20"/>
          <w:lang w:eastAsia="ar-SA"/>
        </w:rPr>
        <w:t xml:space="preserve"> en OCR-kapitaal</w:t>
      </w:r>
      <w:r w:rsidR="001967BE">
        <w:rPr>
          <w:bCs/>
          <w:szCs w:val="20"/>
          <w:lang w:eastAsia="ar-SA"/>
        </w:rPr>
        <w:t xml:space="preserve"> </w:t>
      </w:r>
      <w:r w:rsidR="003712BC">
        <w:rPr>
          <w:bCs/>
          <w:szCs w:val="20"/>
          <w:lang w:eastAsia="ar-SA"/>
        </w:rPr>
        <w:t xml:space="preserve">in januari 2017 </w:t>
      </w:r>
      <w:r w:rsidR="001967BE">
        <w:rPr>
          <w:bCs/>
          <w:szCs w:val="20"/>
          <w:lang w:eastAsia="ar-SA"/>
        </w:rPr>
        <w:t xml:space="preserve">(zie par. 2.2) </w:t>
      </w:r>
      <w:r w:rsidR="003712BC">
        <w:rPr>
          <w:lang w:eastAsia="ar-SA"/>
        </w:rPr>
        <w:t xml:space="preserve">is </w:t>
      </w:r>
      <w:r w:rsidR="001967BE">
        <w:rPr>
          <w:lang w:eastAsia="ar-SA"/>
        </w:rPr>
        <w:t xml:space="preserve">extra capaciteit </w:t>
      </w:r>
      <w:r w:rsidR="003712BC">
        <w:rPr>
          <w:lang w:eastAsia="ar-SA"/>
        </w:rPr>
        <w:t xml:space="preserve">ontstaan </w:t>
      </w:r>
      <w:r w:rsidR="001967BE">
        <w:rPr>
          <w:lang w:eastAsia="ar-SA"/>
        </w:rPr>
        <w:t xml:space="preserve">voor verdere groei van de </w:t>
      </w:r>
      <w:r w:rsidR="00C02AF8">
        <w:rPr>
          <w:lang w:eastAsia="ar-SA"/>
        </w:rPr>
        <w:t>activiteiten v</w:t>
      </w:r>
      <w:r w:rsidR="001967BE">
        <w:rPr>
          <w:lang w:eastAsia="ar-SA"/>
        </w:rPr>
        <w:t xml:space="preserve">an de Bank, met inbegrip van concessionele leningen. </w:t>
      </w:r>
      <w:r w:rsidR="003712BC">
        <w:rPr>
          <w:lang w:eastAsia="ar-SA"/>
        </w:rPr>
        <w:t xml:space="preserve">Hoe deze groei zich </w:t>
      </w:r>
      <w:r w:rsidR="001967BE">
        <w:rPr>
          <w:lang w:eastAsia="ar-SA"/>
        </w:rPr>
        <w:t xml:space="preserve">zal </w:t>
      </w:r>
      <w:r w:rsidR="003712BC">
        <w:rPr>
          <w:lang w:eastAsia="ar-SA"/>
        </w:rPr>
        <w:t xml:space="preserve">ontwikkelingen zal de komende jaren </w:t>
      </w:r>
      <w:r w:rsidR="001976C9">
        <w:rPr>
          <w:lang w:eastAsia="ar-SA"/>
        </w:rPr>
        <w:t xml:space="preserve">moeten blijken. Het </w:t>
      </w:r>
      <w:r w:rsidR="003712BC">
        <w:rPr>
          <w:lang w:eastAsia="ar-SA"/>
        </w:rPr>
        <w:t xml:space="preserve">zal </w:t>
      </w:r>
      <w:r w:rsidR="001967BE">
        <w:rPr>
          <w:lang w:eastAsia="ar-SA"/>
        </w:rPr>
        <w:t xml:space="preserve">mogelijk ook gevolgen hebben voor het </w:t>
      </w:r>
      <w:r w:rsidR="001967BE" w:rsidRPr="000A3DC9">
        <w:rPr>
          <w:i/>
          <w:lang w:eastAsia="ar-SA"/>
        </w:rPr>
        <w:t>Administratieve Budget</w:t>
      </w:r>
      <w:r w:rsidR="001967BE">
        <w:rPr>
          <w:lang w:eastAsia="ar-SA"/>
        </w:rPr>
        <w:t xml:space="preserve"> van de Bank. </w:t>
      </w:r>
    </w:p>
    <w:p w14:paraId="6B3A89A1" w14:textId="77777777" w:rsidR="002A310E" w:rsidRDefault="002A310E" w:rsidP="00DE34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6B3A89A4" w14:textId="77777777" w:rsidTr="00B06CE6">
        <w:tc>
          <w:tcPr>
            <w:tcW w:w="6912" w:type="dxa"/>
            <w:tcBorders>
              <w:top w:val="single" w:sz="12" w:space="0" w:color="auto"/>
              <w:left w:val="single" w:sz="12" w:space="0" w:color="auto"/>
              <w:bottom w:val="single" w:sz="12" w:space="0" w:color="auto"/>
            </w:tcBorders>
            <w:shd w:val="clear" w:color="auto" w:fill="D0CECE"/>
          </w:tcPr>
          <w:p w14:paraId="6B3A89A2"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B3A89A3" w14:textId="77777777" w:rsidR="002A310E" w:rsidRPr="00EA0AA8" w:rsidRDefault="002A310E" w:rsidP="00382AE3">
            <w:pPr>
              <w:rPr>
                <w:b/>
              </w:rPr>
            </w:pPr>
            <w:r w:rsidRPr="00EA0AA8">
              <w:rPr>
                <w:b/>
              </w:rPr>
              <w:t>Score</w:t>
            </w:r>
          </w:p>
        </w:tc>
      </w:tr>
      <w:tr w:rsidR="002A310E" w14:paraId="6B3A89A7" w14:textId="77777777" w:rsidTr="00382AE3">
        <w:tc>
          <w:tcPr>
            <w:tcW w:w="6912" w:type="dxa"/>
            <w:tcBorders>
              <w:top w:val="single" w:sz="12" w:space="0" w:color="auto"/>
              <w:left w:val="single" w:sz="12" w:space="0" w:color="auto"/>
            </w:tcBorders>
            <w:shd w:val="clear" w:color="auto" w:fill="auto"/>
          </w:tcPr>
          <w:p w14:paraId="6B3A89A5" w14:textId="77777777" w:rsidR="002A310E" w:rsidRDefault="00D5720B" w:rsidP="00927293">
            <w:r>
              <w:t>Realistische begroting</w:t>
            </w:r>
          </w:p>
        </w:tc>
        <w:tc>
          <w:tcPr>
            <w:tcW w:w="955" w:type="dxa"/>
            <w:tcBorders>
              <w:top w:val="single" w:sz="12" w:space="0" w:color="auto"/>
              <w:right w:val="single" w:sz="12" w:space="0" w:color="auto"/>
            </w:tcBorders>
            <w:shd w:val="clear" w:color="auto" w:fill="auto"/>
          </w:tcPr>
          <w:p w14:paraId="6B3A89A6" w14:textId="6B551E6D" w:rsidR="002A310E" w:rsidRDefault="003D0C47" w:rsidP="00382AE3">
            <w:r>
              <w:t>3</w:t>
            </w:r>
          </w:p>
        </w:tc>
      </w:tr>
      <w:tr w:rsidR="002A310E" w14:paraId="6B3A89AA" w14:textId="77777777" w:rsidTr="00382AE3">
        <w:tc>
          <w:tcPr>
            <w:tcW w:w="6912" w:type="dxa"/>
            <w:tcBorders>
              <w:left w:val="single" w:sz="12" w:space="0" w:color="auto"/>
            </w:tcBorders>
            <w:shd w:val="clear" w:color="auto" w:fill="auto"/>
          </w:tcPr>
          <w:p w14:paraId="6B3A89A8" w14:textId="77777777" w:rsidR="002A310E" w:rsidRDefault="00927293" w:rsidP="00382AE3">
            <w:r>
              <w:t>Liquiditeitspositie en/of solvabiliteitspositie</w:t>
            </w:r>
          </w:p>
        </w:tc>
        <w:tc>
          <w:tcPr>
            <w:tcW w:w="955" w:type="dxa"/>
            <w:tcBorders>
              <w:right w:val="single" w:sz="12" w:space="0" w:color="auto"/>
            </w:tcBorders>
            <w:shd w:val="clear" w:color="auto" w:fill="auto"/>
          </w:tcPr>
          <w:p w14:paraId="6B3A89A9" w14:textId="77777777" w:rsidR="002A310E" w:rsidRDefault="00B54AF0" w:rsidP="00382AE3">
            <w:r>
              <w:t>4</w:t>
            </w:r>
          </w:p>
        </w:tc>
      </w:tr>
      <w:tr w:rsidR="002A310E" w14:paraId="6B3A89AD" w14:textId="77777777" w:rsidTr="00382AE3">
        <w:tc>
          <w:tcPr>
            <w:tcW w:w="6912" w:type="dxa"/>
            <w:tcBorders>
              <w:left w:val="single" w:sz="12" w:space="0" w:color="auto"/>
            </w:tcBorders>
            <w:shd w:val="clear" w:color="auto" w:fill="auto"/>
          </w:tcPr>
          <w:p w14:paraId="6B3A89AB" w14:textId="77777777" w:rsidR="002A310E" w:rsidRDefault="00927293" w:rsidP="00382AE3">
            <w:r>
              <w:t>Interne auditfunctie</w:t>
            </w:r>
          </w:p>
        </w:tc>
        <w:tc>
          <w:tcPr>
            <w:tcW w:w="955" w:type="dxa"/>
            <w:tcBorders>
              <w:right w:val="single" w:sz="12" w:space="0" w:color="auto"/>
            </w:tcBorders>
            <w:shd w:val="clear" w:color="auto" w:fill="auto"/>
          </w:tcPr>
          <w:p w14:paraId="6B3A89AC" w14:textId="5CA50683" w:rsidR="002A310E" w:rsidRDefault="0045548F" w:rsidP="00382AE3">
            <w:r>
              <w:t>4</w:t>
            </w:r>
          </w:p>
        </w:tc>
      </w:tr>
      <w:tr w:rsidR="00927293" w14:paraId="6B3A89B0" w14:textId="77777777" w:rsidTr="00382AE3">
        <w:tc>
          <w:tcPr>
            <w:tcW w:w="6912" w:type="dxa"/>
            <w:tcBorders>
              <w:left w:val="single" w:sz="12" w:space="0" w:color="auto"/>
            </w:tcBorders>
            <w:shd w:val="clear" w:color="auto" w:fill="auto"/>
          </w:tcPr>
          <w:p w14:paraId="6B3A89AE" w14:textId="77777777" w:rsidR="00927293" w:rsidRDefault="00927293" w:rsidP="00382AE3">
            <w:r>
              <w:t>Kwaliteit rapportages</w:t>
            </w:r>
          </w:p>
        </w:tc>
        <w:tc>
          <w:tcPr>
            <w:tcW w:w="955" w:type="dxa"/>
            <w:tcBorders>
              <w:right w:val="single" w:sz="12" w:space="0" w:color="auto"/>
            </w:tcBorders>
            <w:shd w:val="clear" w:color="auto" w:fill="auto"/>
          </w:tcPr>
          <w:p w14:paraId="6B3A89AF" w14:textId="77777777" w:rsidR="00927293" w:rsidRDefault="00704832" w:rsidP="00382AE3">
            <w:r>
              <w:t>3</w:t>
            </w:r>
          </w:p>
        </w:tc>
      </w:tr>
      <w:tr w:rsidR="00927293" w14:paraId="6B3A89B3" w14:textId="77777777" w:rsidTr="00382AE3">
        <w:tc>
          <w:tcPr>
            <w:tcW w:w="6912" w:type="dxa"/>
            <w:tcBorders>
              <w:left w:val="single" w:sz="12" w:space="0" w:color="auto"/>
            </w:tcBorders>
            <w:shd w:val="clear" w:color="auto" w:fill="auto"/>
          </w:tcPr>
          <w:p w14:paraId="6B3A89B1" w14:textId="77777777" w:rsidR="00927293" w:rsidRDefault="00927293" w:rsidP="00382AE3">
            <w:r>
              <w:t>Samenhang tussen inhoudelijke en financiële rapportages</w:t>
            </w:r>
          </w:p>
        </w:tc>
        <w:tc>
          <w:tcPr>
            <w:tcW w:w="955" w:type="dxa"/>
            <w:tcBorders>
              <w:right w:val="single" w:sz="12" w:space="0" w:color="auto"/>
            </w:tcBorders>
            <w:shd w:val="clear" w:color="auto" w:fill="auto"/>
          </w:tcPr>
          <w:p w14:paraId="6B3A89B2" w14:textId="77777777" w:rsidR="00927293" w:rsidRDefault="00704832" w:rsidP="00382AE3">
            <w:r>
              <w:t>3</w:t>
            </w:r>
          </w:p>
        </w:tc>
      </w:tr>
      <w:tr w:rsidR="002A310E" w:rsidRPr="00EA0AA8" w14:paraId="6B3A89B6" w14:textId="77777777" w:rsidTr="00B06CE6">
        <w:tc>
          <w:tcPr>
            <w:tcW w:w="6912" w:type="dxa"/>
            <w:tcBorders>
              <w:top w:val="single" w:sz="12" w:space="0" w:color="auto"/>
              <w:left w:val="single" w:sz="12" w:space="0" w:color="auto"/>
              <w:bottom w:val="single" w:sz="12" w:space="0" w:color="auto"/>
            </w:tcBorders>
            <w:shd w:val="clear" w:color="auto" w:fill="D0CECE"/>
          </w:tcPr>
          <w:p w14:paraId="6B3A89B4"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3A89B5" w14:textId="2CAF14B3" w:rsidR="002A310E" w:rsidRPr="00EA0AA8" w:rsidRDefault="003D0C47" w:rsidP="00382AE3">
            <w:pPr>
              <w:rPr>
                <w:b/>
              </w:rPr>
            </w:pPr>
            <w:r>
              <w:rPr>
                <w:b/>
              </w:rPr>
              <w:t>4</w:t>
            </w:r>
          </w:p>
        </w:tc>
      </w:tr>
    </w:tbl>
    <w:p w14:paraId="6B3A89B7" w14:textId="77777777" w:rsidR="002A310E" w:rsidRDefault="002A310E" w:rsidP="00DE343C"/>
    <w:p w14:paraId="6B3A89B8" w14:textId="61A11890" w:rsidR="00927293" w:rsidRDefault="00D32F98" w:rsidP="00491FFC">
      <w:pPr>
        <w:ind w:firstLine="227"/>
      </w:pPr>
      <w:r w:rsidRPr="00193994">
        <w:t>Ver</w:t>
      </w:r>
      <w:r>
        <w:t xml:space="preserve">andering sinds 2015: </w:t>
      </w:r>
      <w:r w:rsidR="003F5D94">
        <w:t>neutraal</w:t>
      </w:r>
      <w:r w:rsidR="003F5D94" w:rsidRPr="00193994">
        <w:t xml:space="preserve"> = </w:t>
      </w:r>
      <w:r w:rsidR="003F5D94" w:rsidRPr="00193994">
        <w:sym w:font="Wingdings" w:char="F0E8"/>
      </w:r>
    </w:p>
    <w:p w14:paraId="7C384385" w14:textId="207012C5" w:rsidR="003D0C47" w:rsidRDefault="003D0C47" w:rsidP="00491FFC">
      <w:pPr>
        <w:ind w:firstLine="227"/>
        <w:rPr>
          <w:b/>
        </w:rPr>
      </w:pPr>
    </w:p>
    <w:p w14:paraId="068CCC30" w14:textId="469CB4A4" w:rsidR="003D0C47" w:rsidRDefault="003D0C47" w:rsidP="003D0C47">
      <w:r w:rsidRPr="003D0C47">
        <w:t xml:space="preserve">De totaalscore van een 4 komt voort uit de stabiele AAA-rating gecombineerd met het feit dat de </w:t>
      </w:r>
      <w:r w:rsidR="00BC54BD" w:rsidRPr="003D0C47">
        <w:t>financiële</w:t>
      </w:r>
      <w:r w:rsidRPr="003D0C47">
        <w:t xml:space="preserve"> slagkracht van de Bank substantieel is toegenomen door de samenvoeging van het ADF- en OCR-kapitaal.</w:t>
      </w:r>
    </w:p>
    <w:p w14:paraId="04CAC1C3" w14:textId="77777777" w:rsidR="00514A54" w:rsidRPr="003D0C47" w:rsidRDefault="00514A54" w:rsidP="003D0C47"/>
    <w:p w14:paraId="6B3A89B9" w14:textId="193977F8" w:rsidR="00382AE3" w:rsidRDefault="0091776E" w:rsidP="0091776E">
      <w:pPr>
        <w:pStyle w:val="Heading2"/>
        <w:tabs>
          <w:tab w:val="left" w:pos="-1162"/>
          <w:tab w:val="left" w:pos="0"/>
          <w:tab w:val="num" w:pos="1160"/>
        </w:tabs>
        <w:spacing w:line="240" w:lineRule="auto"/>
        <w:ind w:hanging="1162"/>
      </w:pPr>
      <w:bookmarkStart w:id="39" w:name="_Toc491437352"/>
      <w:r>
        <w:t>4</w:t>
      </w:r>
      <w:r w:rsidR="00382AE3">
        <w:t>.8</w:t>
      </w:r>
      <w:r w:rsidR="00382AE3" w:rsidRPr="004D372F">
        <w:t xml:space="preserve"> </w:t>
      </w:r>
      <w:r w:rsidR="00382AE3">
        <w:tab/>
      </w:r>
      <w:r w:rsidR="00982949" w:rsidRPr="003D0C47">
        <w:rPr>
          <w:lang w:val="nl-NL"/>
        </w:rPr>
        <w:t>Kosten</w:t>
      </w:r>
      <w:r w:rsidR="00671410">
        <w:rPr>
          <w:lang w:val="nl-NL"/>
        </w:rPr>
        <w:t>reductie</w:t>
      </w:r>
      <w:bookmarkEnd w:id="39"/>
    </w:p>
    <w:p w14:paraId="6B3A89BA" w14:textId="1B2F34CE" w:rsidR="00114104" w:rsidRPr="00107507" w:rsidRDefault="00C676DA" w:rsidP="00A13499">
      <w:r>
        <w:t>Het verbeteren van</w:t>
      </w:r>
      <w:r w:rsidR="00C17996">
        <w:t xml:space="preserve"> </w:t>
      </w:r>
      <w:r w:rsidR="00C02AF8">
        <w:t>efficiëntie</w:t>
      </w:r>
      <w:r>
        <w:t xml:space="preserve"> is een van de doelen opgenomen in de </w:t>
      </w:r>
      <w:r w:rsidRPr="00C676DA">
        <w:rPr>
          <w:i/>
        </w:rPr>
        <w:t>Mid Term Review</w:t>
      </w:r>
      <w:r>
        <w:t xml:space="preserve"> van </w:t>
      </w:r>
      <w:r>
        <w:rPr>
          <w:i/>
        </w:rPr>
        <w:t>Strategy 2020.</w:t>
      </w:r>
      <w:r w:rsidR="00EA1A03">
        <w:rPr>
          <w:i/>
        </w:rPr>
        <w:t xml:space="preserve"> </w:t>
      </w:r>
      <w:r w:rsidR="00EA1A03">
        <w:t xml:space="preserve">Sinds deze review heeft de Bank verschillende maatregelen genomen om de </w:t>
      </w:r>
      <w:r w:rsidR="00C02AF8">
        <w:t>efficiënte</w:t>
      </w:r>
      <w:r w:rsidR="00EA1A03">
        <w:t xml:space="preserve"> te verbeteren, zoals</w:t>
      </w:r>
      <w:r w:rsidR="00F313FC">
        <w:t xml:space="preserve"> het verbeteren van bedrijfsprocessen, versterken van </w:t>
      </w:r>
      <w:r w:rsidR="00C02AF8">
        <w:t>operationele</w:t>
      </w:r>
      <w:r w:rsidR="00F313FC">
        <w:t xml:space="preserve"> </w:t>
      </w:r>
      <w:r w:rsidR="00C02AF8">
        <w:t>efficiëntie</w:t>
      </w:r>
      <w:r w:rsidR="00F313FC">
        <w:t xml:space="preserve">, </w:t>
      </w:r>
      <w:r w:rsidR="00D55774">
        <w:t xml:space="preserve">hervormen van </w:t>
      </w:r>
      <w:r w:rsidR="00D55774">
        <w:lastRenderedPageBreak/>
        <w:t>dienstreisbeleid</w:t>
      </w:r>
      <w:r w:rsidR="00F313FC">
        <w:t xml:space="preserve"> en verlagen van kosten voor consultants</w:t>
      </w:r>
      <w:r w:rsidR="00D916B5">
        <w:t>.</w:t>
      </w:r>
      <w:r w:rsidR="00F313FC">
        <w:t xml:space="preserve"> </w:t>
      </w:r>
      <w:r w:rsidR="000D1E15">
        <w:t>Deze maatregelen lijken hun vruchten af te werpen</w:t>
      </w:r>
      <w:r w:rsidR="00A56F36">
        <w:t>. Zo had de Bank in 2015 relatief l</w:t>
      </w:r>
      <w:r w:rsidR="00D55774">
        <w:t>age administratieve laste</w:t>
      </w:r>
      <w:r w:rsidR="00A56F36">
        <w:t>n</w:t>
      </w:r>
      <w:r w:rsidR="00D916B5">
        <w:t>.</w:t>
      </w:r>
      <w:r w:rsidR="009C480E">
        <w:t xml:space="preserve"> Verder is de groei van het budget al sinds 2005 lager dan de groei van </w:t>
      </w:r>
      <w:r w:rsidR="00C02AF8">
        <w:t>het</w:t>
      </w:r>
      <w:r w:rsidR="009C480E">
        <w:t xml:space="preserve"> activiteitenportfolio. Ondanks de voo</w:t>
      </w:r>
      <w:r w:rsidR="00C4542C">
        <w:t xml:space="preserve">rziene volumegroei voor de komende jaren door de samenvoeging van OCR- en ADF-middelen, was er geen </w:t>
      </w:r>
      <w:r w:rsidR="00C02AF8">
        <w:t>reële</w:t>
      </w:r>
      <w:r w:rsidR="00C4542C">
        <w:t xml:space="preserve"> groei van het budget in 2016. </w:t>
      </w:r>
    </w:p>
    <w:p w14:paraId="6B3A89BB" w14:textId="77777777" w:rsidR="00114104" w:rsidRDefault="00114104" w:rsidP="00A13499"/>
    <w:p w14:paraId="6B3A89BD" w14:textId="5C90771E" w:rsidR="00382AE3" w:rsidRDefault="00114104" w:rsidP="00A13499">
      <w:pPr>
        <w:rPr>
          <w:lang w:eastAsia="ar-SA"/>
        </w:rPr>
      </w:pPr>
      <w:r>
        <w:rPr>
          <w:lang w:eastAsia="ar-SA"/>
        </w:rPr>
        <w:t>De beloningsstructuur bij de Bank volgt die van de Wereldbank. Dit</w:t>
      </w:r>
      <w:r w:rsidR="0036284F">
        <w:rPr>
          <w:lang w:eastAsia="ar-SA"/>
        </w:rPr>
        <w:t xml:space="preserve"> leidt tot salarisaanpassingen </w:t>
      </w:r>
      <w:r>
        <w:rPr>
          <w:lang w:eastAsia="ar-SA"/>
        </w:rPr>
        <w:t>die naar Nederlands oordeel niet gerechtvaardigd zijn. Nederland heeft bij de besluitvorming de afgelopen jaren dan ook consequent tegen gestemd bij voorstellen tot salarisverhoging.</w:t>
      </w:r>
      <w:r w:rsidR="0036284F">
        <w:rPr>
          <w:lang w:eastAsia="ar-SA"/>
        </w:rPr>
        <w:t xml:space="preserve"> Wel zijn de secundaire arbeids</w:t>
      </w:r>
      <w:r w:rsidR="00D916B5">
        <w:rPr>
          <w:lang w:eastAsia="ar-SA"/>
        </w:rPr>
        <w:t>voorwaarden</w:t>
      </w:r>
      <w:r w:rsidR="0036284F">
        <w:rPr>
          <w:lang w:eastAsia="ar-SA"/>
        </w:rPr>
        <w:t xml:space="preserve"> iets versoberd. </w:t>
      </w:r>
    </w:p>
    <w:p w14:paraId="6B3A89BE" w14:textId="77777777" w:rsidR="009720A7" w:rsidRPr="00382AE3" w:rsidRDefault="009720A7"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382AE3" w:rsidRPr="00EA0AA8" w14:paraId="6B3A89C1" w14:textId="77777777" w:rsidTr="00B06CE6">
        <w:tc>
          <w:tcPr>
            <w:tcW w:w="6912" w:type="dxa"/>
            <w:tcBorders>
              <w:top w:val="single" w:sz="12" w:space="0" w:color="auto"/>
              <w:left w:val="single" w:sz="12" w:space="0" w:color="auto"/>
              <w:bottom w:val="single" w:sz="12" w:space="0" w:color="auto"/>
            </w:tcBorders>
            <w:shd w:val="clear" w:color="auto" w:fill="D0CECE"/>
          </w:tcPr>
          <w:p w14:paraId="6B3A89BF" w14:textId="77777777" w:rsidR="00382AE3" w:rsidRPr="00EA0AA8" w:rsidRDefault="00382AE3"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B3A89C0" w14:textId="77777777" w:rsidR="00382AE3" w:rsidRPr="00EA0AA8" w:rsidRDefault="00382AE3" w:rsidP="00382AE3">
            <w:pPr>
              <w:rPr>
                <w:b/>
              </w:rPr>
            </w:pPr>
            <w:r w:rsidRPr="00EA0AA8">
              <w:rPr>
                <w:b/>
              </w:rPr>
              <w:t>Score</w:t>
            </w:r>
          </w:p>
        </w:tc>
      </w:tr>
      <w:tr w:rsidR="00382AE3" w14:paraId="6B3A89C4" w14:textId="77777777" w:rsidTr="00382AE3">
        <w:tc>
          <w:tcPr>
            <w:tcW w:w="6912" w:type="dxa"/>
            <w:tcBorders>
              <w:top w:val="single" w:sz="12" w:space="0" w:color="auto"/>
              <w:left w:val="single" w:sz="12" w:space="0" w:color="auto"/>
            </w:tcBorders>
            <w:shd w:val="clear" w:color="auto" w:fill="auto"/>
          </w:tcPr>
          <w:p w14:paraId="6B3A89C2" w14:textId="77777777" w:rsidR="00382AE3" w:rsidRDefault="002568BC" w:rsidP="00382AE3">
            <w:r>
              <w:t>Verhouding programma-uitgaven/overhead</w:t>
            </w:r>
          </w:p>
        </w:tc>
        <w:tc>
          <w:tcPr>
            <w:tcW w:w="955" w:type="dxa"/>
            <w:tcBorders>
              <w:top w:val="single" w:sz="12" w:space="0" w:color="auto"/>
              <w:right w:val="single" w:sz="12" w:space="0" w:color="auto"/>
            </w:tcBorders>
            <w:shd w:val="clear" w:color="auto" w:fill="auto"/>
          </w:tcPr>
          <w:p w14:paraId="6B3A89C3" w14:textId="77777777" w:rsidR="00382AE3" w:rsidRDefault="00E15544" w:rsidP="00382AE3">
            <w:r>
              <w:t>3</w:t>
            </w:r>
          </w:p>
        </w:tc>
      </w:tr>
      <w:tr w:rsidR="00382AE3" w14:paraId="6B3A89C7" w14:textId="77777777" w:rsidTr="00382AE3">
        <w:tc>
          <w:tcPr>
            <w:tcW w:w="6912" w:type="dxa"/>
            <w:tcBorders>
              <w:left w:val="single" w:sz="12" w:space="0" w:color="auto"/>
            </w:tcBorders>
            <w:shd w:val="clear" w:color="auto" w:fill="auto"/>
          </w:tcPr>
          <w:p w14:paraId="6B3A89C5" w14:textId="77777777" w:rsidR="00382AE3" w:rsidRDefault="002568BC" w:rsidP="00A21A93">
            <w:r>
              <w:t>Kosteneff</w:t>
            </w:r>
            <w:r w:rsidR="00A21A93">
              <w:t xml:space="preserve">ectiviteit </w:t>
            </w:r>
            <w:r>
              <w:t>programma’s</w:t>
            </w:r>
          </w:p>
        </w:tc>
        <w:tc>
          <w:tcPr>
            <w:tcW w:w="955" w:type="dxa"/>
            <w:tcBorders>
              <w:right w:val="single" w:sz="12" w:space="0" w:color="auto"/>
            </w:tcBorders>
            <w:shd w:val="clear" w:color="auto" w:fill="auto"/>
          </w:tcPr>
          <w:p w14:paraId="6B3A89C6" w14:textId="77777777" w:rsidR="00382AE3" w:rsidRDefault="00E15544" w:rsidP="00382AE3">
            <w:r>
              <w:t>3</w:t>
            </w:r>
          </w:p>
        </w:tc>
      </w:tr>
      <w:tr w:rsidR="00382AE3" w14:paraId="6B3A89CA" w14:textId="77777777" w:rsidTr="00382AE3">
        <w:tc>
          <w:tcPr>
            <w:tcW w:w="6912" w:type="dxa"/>
            <w:tcBorders>
              <w:left w:val="single" w:sz="12" w:space="0" w:color="auto"/>
            </w:tcBorders>
            <w:shd w:val="clear" w:color="auto" w:fill="auto"/>
          </w:tcPr>
          <w:p w14:paraId="6B3A89C8" w14:textId="77777777" w:rsidR="00382AE3" w:rsidRDefault="002568BC" w:rsidP="00382AE3">
            <w:r>
              <w:t>Versobering salarissen en secundaire arbeidsvoorwaarden</w:t>
            </w:r>
          </w:p>
        </w:tc>
        <w:tc>
          <w:tcPr>
            <w:tcW w:w="955" w:type="dxa"/>
            <w:tcBorders>
              <w:right w:val="single" w:sz="12" w:space="0" w:color="auto"/>
            </w:tcBorders>
            <w:shd w:val="clear" w:color="auto" w:fill="auto"/>
          </w:tcPr>
          <w:p w14:paraId="6B3A89C9" w14:textId="77777777" w:rsidR="00382AE3" w:rsidRDefault="00CC7D91" w:rsidP="00382AE3">
            <w:r>
              <w:t>2</w:t>
            </w:r>
          </w:p>
        </w:tc>
      </w:tr>
      <w:tr w:rsidR="00382AE3" w:rsidRPr="00EA0AA8" w14:paraId="6B3A89CD" w14:textId="77777777" w:rsidTr="00B06CE6">
        <w:tc>
          <w:tcPr>
            <w:tcW w:w="6912" w:type="dxa"/>
            <w:tcBorders>
              <w:top w:val="single" w:sz="12" w:space="0" w:color="auto"/>
              <w:left w:val="single" w:sz="12" w:space="0" w:color="auto"/>
              <w:bottom w:val="single" w:sz="12" w:space="0" w:color="auto"/>
            </w:tcBorders>
            <w:shd w:val="clear" w:color="auto" w:fill="D0CECE"/>
          </w:tcPr>
          <w:p w14:paraId="6B3A89CB" w14:textId="77777777" w:rsidR="00382AE3" w:rsidRPr="00EA0AA8" w:rsidRDefault="00382AE3"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3A89CC" w14:textId="77777777" w:rsidR="00382AE3" w:rsidRPr="00EA0AA8" w:rsidRDefault="004A338D" w:rsidP="00382AE3">
            <w:pPr>
              <w:rPr>
                <w:b/>
              </w:rPr>
            </w:pPr>
            <w:r>
              <w:rPr>
                <w:b/>
              </w:rPr>
              <w:t>3</w:t>
            </w:r>
          </w:p>
        </w:tc>
      </w:tr>
    </w:tbl>
    <w:p w14:paraId="6B3A89CE" w14:textId="77777777" w:rsidR="00382AE3" w:rsidRDefault="00382AE3" w:rsidP="00382AE3"/>
    <w:p w14:paraId="6B3A89CF" w14:textId="47D6C1BA" w:rsidR="00AF4978" w:rsidRDefault="00D32F98" w:rsidP="00491FFC">
      <w:pPr>
        <w:ind w:firstLine="227"/>
      </w:pPr>
      <w:r w:rsidRPr="00193994">
        <w:t>Ver</w:t>
      </w:r>
      <w:r>
        <w:t xml:space="preserve">andering sinds 2015: </w:t>
      </w:r>
      <w:r w:rsidR="003F5D94">
        <w:t>neutraal</w:t>
      </w:r>
      <w:r w:rsidR="003F5D94" w:rsidRPr="00193994">
        <w:t xml:space="preserve"> = </w:t>
      </w:r>
      <w:r w:rsidR="003F5D94" w:rsidRPr="00193994">
        <w:sym w:font="Wingdings" w:char="F0E8"/>
      </w:r>
    </w:p>
    <w:p w14:paraId="14D2E540" w14:textId="77777777" w:rsidR="00514A54" w:rsidRPr="009720A7" w:rsidRDefault="00514A54" w:rsidP="00491FFC">
      <w:pPr>
        <w:ind w:firstLine="227"/>
        <w:rPr>
          <w:b/>
        </w:rPr>
      </w:pPr>
    </w:p>
    <w:p w14:paraId="6B3A89D0" w14:textId="77777777" w:rsidR="00DE343C" w:rsidRPr="003D5452" w:rsidRDefault="0091776E" w:rsidP="0091776E">
      <w:pPr>
        <w:pStyle w:val="Heading2"/>
        <w:tabs>
          <w:tab w:val="left" w:pos="-1162"/>
          <w:tab w:val="left" w:pos="0"/>
          <w:tab w:val="num" w:pos="1160"/>
        </w:tabs>
        <w:spacing w:line="240" w:lineRule="auto"/>
        <w:ind w:hanging="1162"/>
      </w:pPr>
      <w:bookmarkStart w:id="40" w:name="_Toc491437353"/>
      <w:r>
        <w:t>4</w:t>
      </w:r>
      <w:r w:rsidR="000A22CF">
        <w:t>.</w:t>
      </w:r>
      <w:r w:rsidR="00382AE3">
        <w:t>9</w:t>
      </w:r>
      <w:r w:rsidR="004D372F" w:rsidRPr="004D372F">
        <w:t xml:space="preserve"> </w:t>
      </w:r>
      <w:r w:rsidR="004D372F">
        <w:tab/>
      </w:r>
      <w:r w:rsidR="00DE343C" w:rsidRPr="004D372F">
        <w:t>Corruptiebestrijding</w:t>
      </w:r>
      <w:bookmarkEnd w:id="40"/>
      <w:r w:rsidR="000F53BE">
        <w:t xml:space="preserve"> </w:t>
      </w:r>
    </w:p>
    <w:p w14:paraId="6B3A89D1" w14:textId="71F1F70E" w:rsidR="00F51E01" w:rsidRPr="0018349C" w:rsidRDefault="00525150" w:rsidP="002E7FEC">
      <w:pPr>
        <w:suppressAutoHyphens/>
        <w:rPr>
          <w:lang w:eastAsia="ar-SA"/>
        </w:rPr>
      </w:pPr>
      <w:r>
        <w:rPr>
          <w:lang w:eastAsia="ar-SA"/>
        </w:rPr>
        <w:t xml:space="preserve">Het </w:t>
      </w:r>
      <w:r>
        <w:rPr>
          <w:i/>
          <w:lang w:eastAsia="ar-SA"/>
        </w:rPr>
        <w:t xml:space="preserve">Office of the Auditor </w:t>
      </w:r>
      <w:r w:rsidRPr="00525150">
        <w:rPr>
          <w:i/>
          <w:lang w:eastAsia="ar-SA"/>
        </w:rPr>
        <w:t>General</w:t>
      </w:r>
      <w:r>
        <w:rPr>
          <w:i/>
          <w:lang w:eastAsia="ar-SA"/>
        </w:rPr>
        <w:t xml:space="preserve"> </w:t>
      </w:r>
      <w:r>
        <w:rPr>
          <w:lang w:eastAsia="ar-SA"/>
        </w:rPr>
        <w:t xml:space="preserve">is verantwoordelijk voor </w:t>
      </w:r>
      <w:r w:rsidR="0018349C">
        <w:rPr>
          <w:lang w:eastAsia="ar-SA"/>
        </w:rPr>
        <w:t xml:space="preserve">alle auditfuncties binnen de Bank. </w:t>
      </w:r>
      <w:r w:rsidR="00F51E01" w:rsidRPr="00ED528E">
        <w:rPr>
          <w:lang w:eastAsia="ar-SA"/>
        </w:rPr>
        <w:t>AsDB’s</w:t>
      </w:r>
      <w:r w:rsidR="00F51E01">
        <w:rPr>
          <w:lang w:eastAsia="ar-SA"/>
        </w:rPr>
        <w:t xml:space="preserve"> interne en externe auditprocessen </w:t>
      </w:r>
      <w:r w:rsidR="00FB0C45">
        <w:rPr>
          <w:lang w:eastAsia="ar-SA"/>
        </w:rPr>
        <w:t>voldoen aan internationa</w:t>
      </w:r>
      <w:r w:rsidR="0018349C">
        <w:rPr>
          <w:lang w:eastAsia="ar-SA"/>
        </w:rPr>
        <w:t>le standaarden en de Bank heeft goed fin</w:t>
      </w:r>
      <w:r w:rsidR="00C02AF8">
        <w:rPr>
          <w:lang w:eastAsia="ar-SA"/>
        </w:rPr>
        <w:t>an</w:t>
      </w:r>
      <w:r w:rsidR="0018349C">
        <w:rPr>
          <w:lang w:eastAsia="ar-SA"/>
        </w:rPr>
        <w:t>cieel beleid, system</w:t>
      </w:r>
      <w:r w:rsidR="00C259E8">
        <w:rPr>
          <w:lang w:eastAsia="ar-SA"/>
        </w:rPr>
        <w:t xml:space="preserve">en en processen </w:t>
      </w:r>
      <w:r w:rsidR="0018349C">
        <w:rPr>
          <w:lang w:eastAsia="ar-SA"/>
        </w:rPr>
        <w:t xml:space="preserve">om te voldoen aan de </w:t>
      </w:r>
      <w:r w:rsidR="0018349C">
        <w:rPr>
          <w:i/>
          <w:lang w:eastAsia="ar-SA"/>
        </w:rPr>
        <w:t xml:space="preserve">best practice </w:t>
      </w:r>
      <w:r w:rsidR="0018349C">
        <w:rPr>
          <w:lang w:eastAsia="ar-SA"/>
        </w:rPr>
        <w:t>in financieel management</w:t>
      </w:r>
      <w:r w:rsidR="00D916B5">
        <w:rPr>
          <w:lang w:eastAsia="ar-SA"/>
        </w:rPr>
        <w:t>.</w:t>
      </w:r>
      <w:r w:rsidR="0018349C">
        <w:rPr>
          <w:lang w:eastAsia="ar-SA"/>
        </w:rPr>
        <w:t xml:space="preserve"> </w:t>
      </w:r>
    </w:p>
    <w:p w14:paraId="6B3A89D2" w14:textId="77777777" w:rsidR="00F51E01" w:rsidRDefault="00F51E01" w:rsidP="002E7FEC">
      <w:pPr>
        <w:suppressAutoHyphens/>
        <w:rPr>
          <w:lang w:eastAsia="ar-SA"/>
        </w:rPr>
      </w:pPr>
    </w:p>
    <w:p w14:paraId="6B3A89D3" w14:textId="07673CCB" w:rsidR="004938C1" w:rsidRPr="00DF5DC9" w:rsidRDefault="00107507" w:rsidP="004938C1">
      <w:pPr>
        <w:rPr>
          <w:i/>
        </w:rPr>
      </w:pPr>
      <w:r>
        <w:t>Het</w:t>
      </w:r>
      <w:r w:rsidR="00466503">
        <w:t xml:space="preserve"> anti</w:t>
      </w:r>
      <w:r w:rsidR="00BC54BD">
        <w:t>-</w:t>
      </w:r>
      <w:r w:rsidR="00FB0C45">
        <w:t xml:space="preserve">corruptiebeleid </w:t>
      </w:r>
      <w:r w:rsidR="009B2587">
        <w:t>heeft</w:t>
      </w:r>
      <w:r>
        <w:t xml:space="preserve"> betrekking</w:t>
      </w:r>
      <w:r w:rsidR="009B2587">
        <w:t xml:space="preserve"> op alle bedrijven en individuen</w:t>
      </w:r>
      <w:r w:rsidR="00FF593C">
        <w:t xml:space="preserve"> die gelieerd zijn aan door AsDB gefinancierde projecten, inclusief AsDB-medewerkers.</w:t>
      </w:r>
      <w:r w:rsidR="00226D8D">
        <w:t xml:space="preserve"> </w:t>
      </w:r>
      <w:r w:rsidR="00246DF8">
        <w:t xml:space="preserve">De Bank benadrukt een </w:t>
      </w:r>
      <w:r w:rsidR="00246DF8">
        <w:rPr>
          <w:i/>
        </w:rPr>
        <w:t xml:space="preserve">zero </w:t>
      </w:r>
      <w:r w:rsidR="00246DF8" w:rsidRPr="00246DF8">
        <w:rPr>
          <w:i/>
        </w:rPr>
        <w:t>tolerance</w:t>
      </w:r>
      <w:r w:rsidR="00246DF8">
        <w:rPr>
          <w:i/>
        </w:rPr>
        <w:t xml:space="preserve"> </w:t>
      </w:r>
      <w:r w:rsidR="004938C1">
        <w:t>beleid te hebben ten aanzien van fraude en corruptie. Voor uitvoerende organisaties geldt dat ze worden onderworpen aan integriteits-</w:t>
      </w:r>
      <w:r w:rsidR="004938C1">
        <w:rPr>
          <w:i/>
        </w:rPr>
        <w:t xml:space="preserve">due diligence. </w:t>
      </w:r>
      <w:r w:rsidR="004938C1">
        <w:t xml:space="preserve">De Bank kijkt </w:t>
      </w:r>
      <w:r w:rsidR="00C02AF8">
        <w:t>regelmatig</w:t>
      </w:r>
      <w:r w:rsidR="004938C1">
        <w:t xml:space="preserve"> naar risico’s bij projecten in uitvoering en geeft aanbevelingen om projectmiddelen beter te waarborgen. Ook doet de Bank follow-up reviews zodat integriteitsrisicomanag</w:t>
      </w:r>
      <w:r w:rsidR="004D332B">
        <w:t>e</w:t>
      </w:r>
      <w:r w:rsidR="004938C1">
        <w:t>ment verbetert</w:t>
      </w:r>
      <w:r w:rsidR="00D916B5">
        <w:t>.</w:t>
      </w:r>
      <w:r w:rsidR="00BC54BD">
        <w:t xml:space="preserve"> </w:t>
      </w:r>
    </w:p>
    <w:p w14:paraId="6B3A89D4" w14:textId="77777777" w:rsidR="004938C1" w:rsidRDefault="004938C1" w:rsidP="004938C1"/>
    <w:p w14:paraId="6B3A89D5" w14:textId="1F88C068" w:rsidR="00812C5F" w:rsidRDefault="006A72FC" w:rsidP="00943BB5">
      <w:r w:rsidRPr="00ED528E">
        <w:t>Bij</w:t>
      </w:r>
      <w:r>
        <w:t xml:space="preserve"> het</w:t>
      </w:r>
      <w:r w:rsidR="00226D8D">
        <w:rPr>
          <w:lang w:eastAsia="ar-SA"/>
        </w:rPr>
        <w:t xml:space="preserve"> </w:t>
      </w:r>
      <w:r w:rsidR="00226D8D" w:rsidRPr="00385365">
        <w:rPr>
          <w:i/>
          <w:lang w:eastAsia="ar-SA"/>
        </w:rPr>
        <w:t>Office for Anti-Corruption and Integrity</w:t>
      </w:r>
      <w:r w:rsidR="00226D8D" w:rsidRPr="00385365">
        <w:rPr>
          <w:lang w:eastAsia="ar-SA"/>
        </w:rPr>
        <w:t xml:space="preserve"> </w:t>
      </w:r>
      <w:r w:rsidR="00EC0D3F">
        <w:rPr>
          <w:lang w:eastAsia="ar-SA"/>
        </w:rPr>
        <w:t xml:space="preserve">kunnen zowel medewerkers als externe partijen melding maken van vermeende incidenten van fraude, corruptie of misbruik. Ook is er beleid voor de </w:t>
      </w:r>
      <w:r w:rsidR="00DF5DC9">
        <w:rPr>
          <w:lang w:eastAsia="ar-SA"/>
        </w:rPr>
        <w:t xml:space="preserve">bescherming van klokkenluiders. </w:t>
      </w:r>
      <w:r w:rsidR="00480998">
        <w:t xml:space="preserve">De </w:t>
      </w:r>
      <w:r w:rsidR="00714F43">
        <w:t>Bank publiceert jaarlijks</w:t>
      </w:r>
      <w:r w:rsidR="00480998">
        <w:t xml:space="preserve"> op haar website </w:t>
      </w:r>
      <w:r w:rsidR="00714F43">
        <w:t xml:space="preserve">een </w:t>
      </w:r>
      <w:r w:rsidR="00361DAC">
        <w:t xml:space="preserve">helder </w:t>
      </w:r>
      <w:r w:rsidR="00714F43">
        <w:t>verslag over fraude en andere vormen van integriteitsschendingen.</w:t>
      </w:r>
      <w:r w:rsidR="00361DAC">
        <w:t xml:space="preserve"> Zo</w:t>
      </w:r>
      <w:r w:rsidR="00480998">
        <w:t xml:space="preserve"> valt te zien dat </w:t>
      </w:r>
      <w:r w:rsidR="00361DAC">
        <w:t xml:space="preserve">83 klachten </w:t>
      </w:r>
      <w:r w:rsidR="00480998">
        <w:t xml:space="preserve">leidden </w:t>
      </w:r>
      <w:r w:rsidR="00361DAC">
        <w:t>tot onderzoek in 2015</w:t>
      </w:r>
      <w:r w:rsidR="00D916B5">
        <w:t>.</w:t>
      </w:r>
      <w:r w:rsidR="004D332B">
        <w:t xml:space="preserve"> Wanneer wordt vastgesteld dat een bedrijf of individu heeft gehandeld tegen het anti</w:t>
      </w:r>
      <w:r w:rsidR="00BC54BD">
        <w:t>-</w:t>
      </w:r>
      <w:r w:rsidR="004D332B">
        <w:t>corruptiebeleid van de Bank</w:t>
      </w:r>
      <w:r w:rsidR="00861288">
        <w:t xml:space="preserve"> dan kunnen sancties en corrigerende maatregelen volgen in lijn met de integriteitsprincipes en –richtlijnen van de Bank. </w:t>
      </w:r>
    </w:p>
    <w:p w14:paraId="6B3A89D6" w14:textId="77777777" w:rsidR="000A22CF" w:rsidRDefault="000A22CF" w:rsidP="000A22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6B3A89D9" w14:textId="77777777" w:rsidTr="00B06CE6">
        <w:tc>
          <w:tcPr>
            <w:tcW w:w="6912" w:type="dxa"/>
            <w:tcBorders>
              <w:top w:val="single" w:sz="12" w:space="0" w:color="auto"/>
              <w:left w:val="single" w:sz="12" w:space="0" w:color="auto"/>
              <w:bottom w:val="single" w:sz="12" w:space="0" w:color="auto"/>
            </w:tcBorders>
            <w:shd w:val="clear" w:color="auto" w:fill="D0CECE"/>
          </w:tcPr>
          <w:p w14:paraId="6B3A89D7"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B3A89D8" w14:textId="77777777" w:rsidR="002A310E" w:rsidRPr="00EA0AA8" w:rsidRDefault="002A310E" w:rsidP="00382AE3">
            <w:pPr>
              <w:rPr>
                <w:b/>
              </w:rPr>
            </w:pPr>
            <w:r w:rsidRPr="00EA0AA8">
              <w:rPr>
                <w:b/>
              </w:rPr>
              <w:t>Score</w:t>
            </w:r>
          </w:p>
        </w:tc>
      </w:tr>
      <w:tr w:rsidR="002A310E" w14:paraId="6B3A89DC" w14:textId="77777777" w:rsidTr="00382AE3">
        <w:tc>
          <w:tcPr>
            <w:tcW w:w="6912" w:type="dxa"/>
            <w:tcBorders>
              <w:top w:val="single" w:sz="12" w:space="0" w:color="auto"/>
              <w:left w:val="single" w:sz="12" w:space="0" w:color="auto"/>
            </w:tcBorders>
            <w:shd w:val="clear" w:color="auto" w:fill="auto"/>
          </w:tcPr>
          <w:p w14:paraId="6B3A89DA" w14:textId="77777777" w:rsidR="002A310E" w:rsidRDefault="000F53BE" w:rsidP="00382AE3">
            <w:r>
              <w:t>Maatregelen rechtmatigheidsrisico’s</w:t>
            </w:r>
          </w:p>
        </w:tc>
        <w:tc>
          <w:tcPr>
            <w:tcW w:w="955" w:type="dxa"/>
            <w:tcBorders>
              <w:top w:val="single" w:sz="12" w:space="0" w:color="auto"/>
              <w:right w:val="single" w:sz="12" w:space="0" w:color="auto"/>
            </w:tcBorders>
            <w:shd w:val="clear" w:color="auto" w:fill="auto"/>
          </w:tcPr>
          <w:p w14:paraId="6B3A89DB" w14:textId="77777777" w:rsidR="002A310E" w:rsidRDefault="004D332B" w:rsidP="00382AE3">
            <w:r>
              <w:t>4</w:t>
            </w:r>
          </w:p>
        </w:tc>
      </w:tr>
      <w:tr w:rsidR="002A310E" w14:paraId="6B3A89DF" w14:textId="77777777" w:rsidTr="00382AE3">
        <w:tc>
          <w:tcPr>
            <w:tcW w:w="6912" w:type="dxa"/>
            <w:tcBorders>
              <w:left w:val="single" w:sz="12" w:space="0" w:color="auto"/>
            </w:tcBorders>
            <w:shd w:val="clear" w:color="auto" w:fill="auto"/>
          </w:tcPr>
          <w:p w14:paraId="6B3A89DD" w14:textId="77777777" w:rsidR="002A310E" w:rsidRDefault="000F53BE" w:rsidP="00382AE3">
            <w:r>
              <w:t>Maatregelen doelmatigheidsrisico’s</w:t>
            </w:r>
          </w:p>
        </w:tc>
        <w:tc>
          <w:tcPr>
            <w:tcW w:w="955" w:type="dxa"/>
            <w:tcBorders>
              <w:right w:val="single" w:sz="12" w:space="0" w:color="auto"/>
            </w:tcBorders>
            <w:shd w:val="clear" w:color="auto" w:fill="auto"/>
          </w:tcPr>
          <w:p w14:paraId="6B3A89DE" w14:textId="77777777" w:rsidR="002A310E" w:rsidRDefault="004D332B" w:rsidP="00382AE3">
            <w:r>
              <w:t>4</w:t>
            </w:r>
          </w:p>
        </w:tc>
      </w:tr>
      <w:tr w:rsidR="002A310E" w14:paraId="6B3A89E2" w14:textId="77777777" w:rsidTr="00382AE3">
        <w:tc>
          <w:tcPr>
            <w:tcW w:w="6912" w:type="dxa"/>
            <w:tcBorders>
              <w:left w:val="single" w:sz="12" w:space="0" w:color="auto"/>
            </w:tcBorders>
            <w:shd w:val="clear" w:color="auto" w:fill="auto"/>
          </w:tcPr>
          <w:p w14:paraId="6B3A89E0" w14:textId="77777777" w:rsidR="002A310E" w:rsidRDefault="000F53BE" w:rsidP="000F53BE">
            <w:r>
              <w:t xml:space="preserve">Anti-corruptiebeleid </w:t>
            </w:r>
          </w:p>
        </w:tc>
        <w:tc>
          <w:tcPr>
            <w:tcW w:w="955" w:type="dxa"/>
            <w:tcBorders>
              <w:right w:val="single" w:sz="12" w:space="0" w:color="auto"/>
            </w:tcBorders>
            <w:shd w:val="clear" w:color="auto" w:fill="auto"/>
          </w:tcPr>
          <w:p w14:paraId="6B3A89E1" w14:textId="77777777" w:rsidR="002A310E" w:rsidRDefault="00F51E01" w:rsidP="00382AE3">
            <w:r>
              <w:t>4</w:t>
            </w:r>
          </w:p>
        </w:tc>
      </w:tr>
      <w:tr w:rsidR="000F53BE" w14:paraId="6B3A89E5" w14:textId="77777777" w:rsidTr="00382AE3">
        <w:tc>
          <w:tcPr>
            <w:tcW w:w="6912" w:type="dxa"/>
            <w:tcBorders>
              <w:left w:val="single" w:sz="12" w:space="0" w:color="auto"/>
            </w:tcBorders>
            <w:shd w:val="clear" w:color="auto" w:fill="auto"/>
          </w:tcPr>
          <w:p w14:paraId="6B3A89E3" w14:textId="77777777" w:rsidR="000F53BE" w:rsidRDefault="000F53BE" w:rsidP="00382AE3">
            <w:r>
              <w:t>Transparantie integriteitsschendingen</w:t>
            </w:r>
          </w:p>
        </w:tc>
        <w:tc>
          <w:tcPr>
            <w:tcW w:w="955" w:type="dxa"/>
            <w:tcBorders>
              <w:right w:val="single" w:sz="12" w:space="0" w:color="auto"/>
            </w:tcBorders>
            <w:shd w:val="clear" w:color="auto" w:fill="auto"/>
          </w:tcPr>
          <w:p w14:paraId="6B3A89E4" w14:textId="77777777" w:rsidR="000F53BE" w:rsidRDefault="00361DAC" w:rsidP="00382AE3">
            <w:r>
              <w:t>4</w:t>
            </w:r>
          </w:p>
        </w:tc>
      </w:tr>
      <w:tr w:rsidR="002A310E" w:rsidRPr="00EA0AA8" w14:paraId="6B3A89E8" w14:textId="77777777" w:rsidTr="00B06CE6">
        <w:tc>
          <w:tcPr>
            <w:tcW w:w="6912" w:type="dxa"/>
            <w:tcBorders>
              <w:top w:val="single" w:sz="12" w:space="0" w:color="auto"/>
              <w:left w:val="single" w:sz="12" w:space="0" w:color="auto"/>
              <w:bottom w:val="single" w:sz="12" w:space="0" w:color="auto"/>
            </w:tcBorders>
            <w:shd w:val="clear" w:color="auto" w:fill="D0CECE"/>
          </w:tcPr>
          <w:p w14:paraId="6B3A89E6"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3A89E7" w14:textId="77777777" w:rsidR="002A310E" w:rsidRPr="00EA0AA8" w:rsidRDefault="00A045AE" w:rsidP="00382AE3">
            <w:pPr>
              <w:rPr>
                <w:b/>
              </w:rPr>
            </w:pPr>
            <w:r>
              <w:rPr>
                <w:b/>
              </w:rPr>
              <w:t>4</w:t>
            </w:r>
          </w:p>
        </w:tc>
      </w:tr>
    </w:tbl>
    <w:p w14:paraId="6B3A89E9" w14:textId="77777777" w:rsidR="0031751C" w:rsidRDefault="0031751C" w:rsidP="00E20A86"/>
    <w:p w14:paraId="6B3A89EA" w14:textId="77777777" w:rsidR="00E20A86" w:rsidRPr="008D16FD" w:rsidRDefault="00D32F98" w:rsidP="00491FFC">
      <w:pPr>
        <w:ind w:firstLine="227"/>
        <w:rPr>
          <w:b/>
        </w:rPr>
      </w:pPr>
      <w:r w:rsidRPr="00193994">
        <w:t>Ver</w:t>
      </w:r>
      <w:r>
        <w:t xml:space="preserve">andering sinds 2015: </w:t>
      </w:r>
      <w:r w:rsidR="003F5D94">
        <w:t>neutraal</w:t>
      </w:r>
      <w:r w:rsidR="003F5D94" w:rsidRPr="00193994">
        <w:t xml:space="preserve"> = </w:t>
      </w:r>
      <w:r w:rsidR="003F5D94" w:rsidRPr="00193994">
        <w:sym w:font="Wingdings" w:char="F0E8"/>
      </w:r>
    </w:p>
    <w:p w14:paraId="6B3A89EB" w14:textId="1EF78A42" w:rsidR="00FA4F5D" w:rsidRDefault="0091776E" w:rsidP="008D16FD">
      <w:pPr>
        <w:pStyle w:val="Heading1"/>
        <w:tabs>
          <w:tab w:val="num" w:pos="0"/>
        </w:tabs>
        <w:spacing w:after="240" w:line="240" w:lineRule="auto"/>
        <w:ind w:hanging="1162"/>
      </w:pPr>
      <w:bookmarkStart w:id="41" w:name="_Toc491437354"/>
      <w:r>
        <w:lastRenderedPageBreak/>
        <w:t>5</w:t>
      </w:r>
      <w:r w:rsidR="004D372F">
        <w:t xml:space="preserve"> </w:t>
      </w:r>
      <w:r w:rsidR="004D372F">
        <w:tab/>
      </w:r>
      <w:bookmarkStart w:id="42" w:name="_Toc348364679"/>
      <w:r w:rsidR="008409AE">
        <w:t>R</w:t>
      </w:r>
      <w:r w:rsidR="009534EF">
        <w:t>elevantie van de organisatie</w:t>
      </w:r>
      <w:bookmarkEnd w:id="42"/>
      <w:bookmarkEnd w:id="41"/>
    </w:p>
    <w:p w14:paraId="38607271" w14:textId="77777777" w:rsidR="0001047A" w:rsidRDefault="0001047A" w:rsidP="0001047A">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6B3A89EC" w14:textId="77777777" w:rsidR="00FA4F5D" w:rsidRPr="004D372F" w:rsidRDefault="0091776E" w:rsidP="00FA4F5D">
      <w:pPr>
        <w:pStyle w:val="Heading2"/>
        <w:tabs>
          <w:tab w:val="left" w:pos="-1162"/>
          <w:tab w:val="left" w:pos="0"/>
        </w:tabs>
        <w:spacing w:line="240" w:lineRule="auto"/>
        <w:ind w:hanging="1134"/>
      </w:pPr>
      <w:bookmarkStart w:id="43" w:name="_Toc491437355"/>
      <w:r>
        <w:t>5</w:t>
      </w:r>
      <w:r w:rsidR="00FA4F5D">
        <w:t xml:space="preserve">.1 </w:t>
      </w:r>
      <w:r w:rsidR="00FA4F5D">
        <w:tab/>
        <w:t>Relevantie voor Nederlandse BHOS-prioriteiten</w:t>
      </w:r>
      <w:bookmarkEnd w:id="43"/>
    </w:p>
    <w:p w14:paraId="6B3A89ED" w14:textId="77777777" w:rsidR="00FA4F5D" w:rsidRPr="00E81549" w:rsidRDefault="00FA4F5D" w:rsidP="00E81549">
      <w:pPr>
        <w:rPr>
          <w:u w:val="single"/>
        </w:rPr>
      </w:pPr>
      <w:r w:rsidRPr="00E81549">
        <w:rPr>
          <w:u w:val="single"/>
        </w:rPr>
        <w:t>Voedselzekerheid</w:t>
      </w:r>
    </w:p>
    <w:p w14:paraId="6B3A89EE" w14:textId="77777777" w:rsidR="00FA4F5D" w:rsidRDefault="00CE06A8" w:rsidP="00FA4F5D">
      <w:r w:rsidRPr="00E81549">
        <w:rPr>
          <w:i/>
        </w:rPr>
        <w:t>R</w:t>
      </w:r>
      <w:r w:rsidR="00495163" w:rsidRPr="00E81549">
        <w:rPr>
          <w:i/>
        </w:rPr>
        <w:t>elevant.</w:t>
      </w:r>
      <w:r w:rsidR="00495163">
        <w:t xml:space="preserve"> </w:t>
      </w:r>
      <w:r w:rsidR="00FA4F5D">
        <w:t xml:space="preserve">AsDB-steun voor voedselzekerheid is gericht op infrastructuur voor het platteland om connectiviteit (wegen) productiviteit (irrigatie) en weerbaarheid (waterbeheer) te versterken. Deze steun gericht op infrastructuur versterkt de aanbodzijde van voedsel, maar </w:t>
      </w:r>
      <w:r w:rsidR="003E1757">
        <w:t xml:space="preserve">verhelpt </w:t>
      </w:r>
      <w:r w:rsidR="00FA4F5D">
        <w:t xml:space="preserve">minder de problematiek aan de vraagkant, zoals de koopkracht van huishoudens.   </w:t>
      </w:r>
    </w:p>
    <w:p w14:paraId="6B3A89EF" w14:textId="77777777" w:rsidR="00FA4F5D" w:rsidRDefault="00FA4F5D" w:rsidP="00FA4F5D"/>
    <w:p w14:paraId="6B3A89F0" w14:textId="77777777" w:rsidR="00FA4F5D" w:rsidRPr="00E81549" w:rsidRDefault="00FA4F5D" w:rsidP="00E81549">
      <w:pPr>
        <w:rPr>
          <w:u w:val="single"/>
        </w:rPr>
      </w:pPr>
      <w:r w:rsidRPr="00E81549">
        <w:rPr>
          <w:u w:val="single"/>
        </w:rPr>
        <w:t>Water</w:t>
      </w:r>
    </w:p>
    <w:p w14:paraId="6B3A89F1" w14:textId="77777777" w:rsidR="00FA4F5D" w:rsidRDefault="004A24A9" w:rsidP="00FA4F5D">
      <w:r w:rsidRPr="00E81549">
        <w:rPr>
          <w:i/>
          <w:lang w:eastAsia="ar-SA"/>
        </w:rPr>
        <w:t>Relevant.</w:t>
      </w:r>
      <w:r>
        <w:rPr>
          <w:lang w:eastAsia="ar-SA"/>
        </w:rPr>
        <w:t xml:space="preserve"> Na de </w:t>
      </w:r>
      <w:r w:rsidR="00887E4D">
        <w:rPr>
          <w:i/>
          <w:lang w:eastAsia="ar-SA"/>
        </w:rPr>
        <w:t xml:space="preserve">Mid </w:t>
      </w:r>
      <w:r w:rsidRPr="00A34FB3">
        <w:rPr>
          <w:i/>
          <w:lang w:eastAsia="ar-SA"/>
        </w:rPr>
        <w:t>Term Review</w:t>
      </w:r>
      <w:r>
        <w:rPr>
          <w:lang w:eastAsia="ar-SA"/>
        </w:rPr>
        <w:t xml:space="preserve"> van de </w:t>
      </w:r>
      <w:r w:rsidRPr="00A34FB3">
        <w:rPr>
          <w:i/>
          <w:lang w:eastAsia="ar-SA"/>
        </w:rPr>
        <w:t>Strategy 2020</w:t>
      </w:r>
      <w:r>
        <w:rPr>
          <w:lang w:eastAsia="ar-SA"/>
        </w:rPr>
        <w:t xml:space="preserve"> heeft de AsDB tien strat</w:t>
      </w:r>
      <w:r w:rsidR="00A34FB3">
        <w:rPr>
          <w:lang w:eastAsia="ar-SA"/>
        </w:rPr>
        <w:t xml:space="preserve">egische prioriteiten. Duurzaam </w:t>
      </w:r>
      <w:r>
        <w:rPr>
          <w:lang w:eastAsia="ar-SA"/>
        </w:rPr>
        <w:t xml:space="preserve">watergebruik en -beheer </w:t>
      </w:r>
      <w:r w:rsidR="00D916B5">
        <w:rPr>
          <w:lang w:eastAsia="ar-SA"/>
        </w:rPr>
        <w:t xml:space="preserve">zijn </w:t>
      </w:r>
      <w:r>
        <w:rPr>
          <w:lang w:eastAsia="ar-SA"/>
        </w:rPr>
        <w:t xml:space="preserve">onderdeel van </w:t>
      </w:r>
      <w:r w:rsidR="00A34FB3">
        <w:rPr>
          <w:lang w:eastAsia="ar-SA"/>
        </w:rPr>
        <w:t>de prioriteiten infrastructuur,</w:t>
      </w:r>
      <w:r>
        <w:rPr>
          <w:lang w:eastAsia="ar-SA"/>
        </w:rPr>
        <w:t xml:space="preserve"> milieu, gezondheid en </w:t>
      </w:r>
      <w:r w:rsidR="00A34FB3">
        <w:rPr>
          <w:lang w:eastAsia="ar-SA"/>
        </w:rPr>
        <w:t>landbouw</w:t>
      </w:r>
      <w:r>
        <w:rPr>
          <w:lang w:eastAsia="ar-SA"/>
        </w:rPr>
        <w:t xml:space="preserve">. Nederland ondersteunt de AsDB via het Trust Fund </w:t>
      </w:r>
      <w:r w:rsidRPr="00A34FB3">
        <w:rPr>
          <w:i/>
          <w:lang w:eastAsia="ar-SA"/>
        </w:rPr>
        <w:t>Water Financing Partnership Facility</w:t>
      </w:r>
      <w:r>
        <w:rPr>
          <w:lang w:eastAsia="ar-SA"/>
        </w:rPr>
        <w:t>. Verschillende Nederlandse organisaties</w:t>
      </w:r>
      <w:r w:rsidR="00A34FB3">
        <w:rPr>
          <w:lang w:eastAsia="ar-SA"/>
        </w:rPr>
        <w:t xml:space="preserve"> en</w:t>
      </w:r>
      <w:r>
        <w:rPr>
          <w:lang w:eastAsia="ar-SA"/>
        </w:rPr>
        <w:t xml:space="preserve"> bedrijven actief op watergebied voeren opdrachten uit in het kader van deze faciliteit. De ambassades in onder meer Bangladesh, Indonesië, Myanmar en Vietnam werken nauw samen met de Bank op dit onderwerp. In 2015 keurde de A</w:t>
      </w:r>
      <w:r w:rsidR="00A34FB3">
        <w:rPr>
          <w:lang w:eastAsia="ar-SA"/>
        </w:rPr>
        <w:t>s</w:t>
      </w:r>
      <w:r>
        <w:rPr>
          <w:lang w:eastAsia="ar-SA"/>
        </w:rPr>
        <w:t>DB waterproje</w:t>
      </w:r>
      <w:r w:rsidR="00A34FB3">
        <w:rPr>
          <w:lang w:eastAsia="ar-SA"/>
        </w:rPr>
        <w:t xml:space="preserve">cten met een totale waarde van USD </w:t>
      </w:r>
      <w:r>
        <w:rPr>
          <w:lang w:eastAsia="ar-SA"/>
        </w:rPr>
        <w:t>2,2 miljard goed, waarmee 22 miljo</w:t>
      </w:r>
      <w:r w:rsidR="00AD0140">
        <w:rPr>
          <w:lang w:eastAsia="ar-SA"/>
        </w:rPr>
        <w:t xml:space="preserve">en mensen bereikt </w:t>
      </w:r>
      <w:r w:rsidR="00A34FB3">
        <w:rPr>
          <w:lang w:eastAsia="ar-SA"/>
        </w:rPr>
        <w:t>worden</w:t>
      </w:r>
      <w:r w:rsidR="00E81549">
        <w:rPr>
          <w:lang w:eastAsia="ar-SA"/>
        </w:rPr>
        <w:t>.</w:t>
      </w:r>
    </w:p>
    <w:p w14:paraId="6B3A89F2" w14:textId="77777777" w:rsidR="00FA4F5D" w:rsidRDefault="00FA4F5D" w:rsidP="00FA4F5D"/>
    <w:p w14:paraId="6B3A89F3" w14:textId="77777777" w:rsidR="00FA4F5D" w:rsidRPr="00E81549" w:rsidRDefault="00FA4F5D" w:rsidP="00E81549">
      <w:pPr>
        <w:rPr>
          <w:u w:val="single"/>
        </w:rPr>
      </w:pPr>
      <w:r w:rsidRPr="00E81549">
        <w:rPr>
          <w:u w:val="single"/>
        </w:rPr>
        <w:t>Gendergelijkheid</w:t>
      </w:r>
    </w:p>
    <w:p w14:paraId="6B3A89F4" w14:textId="60529F59" w:rsidR="00FA4F5D" w:rsidRPr="00ED611F" w:rsidRDefault="00FA4F5D" w:rsidP="00FA4F5D">
      <w:r w:rsidRPr="00E81549">
        <w:rPr>
          <w:i/>
        </w:rPr>
        <w:t>Relevant.</w:t>
      </w:r>
      <w:r w:rsidRPr="00956CC4">
        <w:t xml:space="preserve"> Gendergelijkheid is een van</w:t>
      </w:r>
      <w:r>
        <w:t xml:space="preserve"> de vijf </w:t>
      </w:r>
      <w:r w:rsidRPr="002241FF">
        <w:rPr>
          <w:i/>
        </w:rPr>
        <w:t>drivers of change</w:t>
      </w:r>
      <w:r w:rsidRPr="00956CC4">
        <w:t xml:space="preserve"> van </w:t>
      </w:r>
      <w:r w:rsidRPr="00887E4D">
        <w:rPr>
          <w:i/>
        </w:rPr>
        <w:t>Strategy 2020</w:t>
      </w:r>
      <w:r w:rsidRPr="00956CC4">
        <w:t xml:space="preserve">. Bij de </w:t>
      </w:r>
      <w:r w:rsidR="00887E4D">
        <w:rPr>
          <w:i/>
        </w:rPr>
        <w:t xml:space="preserve">Mid </w:t>
      </w:r>
      <w:r w:rsidRPr="00887E4D">
        <w:rPr>
          <w:i/>
        </w:rPr>
        <w:t>Term Review</w:t>
      </w:r>
      <w:r w:rsidRPr="00956CC4">
        <w:t xml:space="preserve"> van 2014 is </w:t>
      </w:r>
      <w:r w:rsidRPr="00887E4D">
        <w:rPr>
          <w:i/>
        </w:rPr>
        <w:t>het</w:t>
      </w:r>
      <w:r w:rsidRPr="00956CC4">
        <w:t xml:space="preserve"> belang van gendergelijkheid</w:t>
      </w:r>
      <w:r>
        <w:t xml:space="preserve"> bevestigd. De afgelopen jaren heeft de AsDB haar beleid, resultatenmonitoring, capaciteit en interne incentive-structuur voor gender verbeterd. Het aandeel projecten met een genderfocus stijgt en de resultaten op het gebied van gendergelijkheid bij projectafronding zijn verbeterd</w:t>
      </w:r>
      <w:r w:rsidR="00D916B5">
        <w:t>.</w:t>
      </w:r>
      <w:r>
        <w:t xml:space="preserve"> De onafhankelijke ADF evaluatie van september 2015 concludeerde dat de A</w:t>
      </w:r>
      <w:r w:rsidR="00DA601E">
        <w:t>s</w:t>
      </w:r>
      <w:r>
        <w:t>DB goed gepositioneerd is om genderresultaten te behalen</w:t>
      </w:r>
      <w:r w:rsidR="00D916B5">
        <w:t>.</w:t>
      </w:r>
      <w:r>
        <w:t xml:space="preserve"> </w:t>
      </w:r>
    </w:p>
    <w:p w14:paraId="6B3A89F5" w14:textId="77777777" w:rsidR="00FA4F5D" w:rsidRDefault="00FA4F5D" w:rsidP="00FA4F5D"/>
    <w:p w14:paraId="6B3A89F6" w14:textId="77777777" w:rsidR="00FA4F5D" w:rsidRPr="00E81549" w:rsidRDefault="00FA4F5D" w:rsidP="00E81549">
      <w:pPr>
        <w:rPr>
          <w:u w:val="single"/>
        </w:rPr>
      </w:pPr>
      <w:r w:rsidRPr="00E81549">
        <w:rPr>
          <w:u w:val="single"/>
        </w:rPr>
        <w:t>Klimaat</w:t>
      </w:r>
    </w:p>
    <w:p w14:paraId="6B3A89F7" w14:textId="77777777" w:rsidR="00FA4F5D" w:rsidRDefault="00FA4F5D" w:rsidP="00FA4F5D">
      <w:r w:rsidRPr="00E81549">
        <w:rPr>
          <w:i/>
        </w:rPr>
        <w:t>Relevant.</w:t>
      </w:r>
      <w:r w:rsidRPr="00956CC4">
        <w:t xml:space="preserve"> Ecologische duurzaamheid was al een van de drie strategische pijlers van </w:t>
      </w:r>
      <w:r w:rsidRPr="00887E4D">
        <w:rPr>
          <w:i/>
        </w:rPr>
        <w:t>Strategy 2020</w:t>
      </w:r>
      <w:r w:rsidRPr="00956CC4">
        <w:t>. Op basis va</w:t>
      </w:r>
      <w:r w:rsidR="00887E4D">
        <w:t xml:space="preserve">n de </w:t>
      </w:r>
      <w:r w:rsidR="00887E4D" w:rsidRPr="00887E4D">
        <w:rPr>
          <w:i/>
        </w:rPr>
        <w:t xml:space="preserve">Mid </w:t>
      </w:r>
      <w:r w:rsidR="009A022C" w:rsidRPr="00887E4D">
        <w:rPr>
          <w:i/>
        </w:rPr>
        <w:t>Term Review</w:t>
      </w:r>
      <w:r w:rsidR="009A022C">
        <w:t xml:space="preserve"> van 2014 werd</w:t>
      </w:r>
      <w:r w:rsidRPr="00956CC4">
        <w:t xml:space="preserve"> dat aangescherpt voor</w:t>
      </w:r>
      <w:r w:rsidR="009A022C">
        <w:t xml:space="preserve"> het thema klimaat: </w:t>
      </w:r>
      <w:r w:rsidRPr="00956CC4">
        <w:t xml:space="preserve">assistentie voor adaptatie </w:t>
      </w:r>
      <w:r w:rsidR="009A022C">
        <w:t xml:space="preserve">aan klimaatverandering werd </w:t>
      </w:r>
      <w:r w:rsidR="007D7652">
        <w:t>geïntensiveerd</w:t>
      </w:r>
      <w:r w:rsidRPr="00956CC4">
        <w:t xml:space="preserve">, en de prioriteit op mitigatiegebied </w:t>
      </w:r>
      <w:r w:rsidR="009A022C">
        <w:t>werd ge</w:t>
      </w:r>
      <w:r w:rsidRPr="00956CC4">
        <w:t>han</w:t>
      </w:r>
      <w:r w:rsidR="009A022C">
        <w:t>dhaafd</w:t>
      </w:r>
      <w:r>
        <w:t xml:space="preserve">. Dat laatste betreft bijvoorbeeld </w:t>
      </w:r>
      <w:r w:rsidRPr="00956CC4">
        <w:t>p</w:t>
      </w:r>
      <w:r>
        <w:t>rogramma’s voor schone energie, energie-efficiëntie</w:t>
      </w:r>
      <w:r w:rsidR="000A3EFC">
        <w:t xml:space="preserve"> en duurzaam transport</w:t>
      </w:r>
      <w:r w:rsidRPr="00956CC4">
        <w:t>.</w:t>
      </w:r>
      <w:r w:rsidR="00F7428E">
        <w:t xml:space="preserve"> De verschuiving naar duurzamere investeringen is duidelijk te zien in het energieportfolio, maar nog niet in</w:t>
      </w:r>
      <w:r w:rsidR="003E1757">
        <w:t xml:space="preserve"> het</w:t>
      </w:r>
      <w:r w:rsidR="00F7428E">
        <w:t xml:space="preserve"> transport</w:t>
      </w:r>
      <w:r w:rsidR="003E1757">
        <w:t>portfolio</w:t>
      </w:r>
      <w:r w:rsidR="00F7428E">
        <w:t>.</w:t>
      </w:r>
      <w:r w:rsidRPr="00956CC4">
        <w:t xml:space="preserve"> </w:t>
      </w:r>
      <w:r>
        <w:t>In 2015 was ongeveer USD 3 miljard van de uitgaven van de Bank klimaatrelevant. In datzelfde jaar kondigde de AsDB als eerste van de MDBs een jaarlijkse klimaatfinancieringsdoelstelling aan voor 2020, het jaar dat het Klimaatakkoord van Parijs in werking</w:t>
      </w:r>
      <w:r w:rsidR="00495163">
        <w:t xml:space="preserve"> zal treden</w:t>
      </w:r>
      <w:r>
        <w:t>. De AsDB zet in op een verdubbeling van haar klimaatfinanciering vanaf 2020</w:t>
      </w:r>
      <w:r w:rsidR="006E2442">
        <w:t xml:space="preserve">. Dit betekent USD 6 miljard voor klimaatfinanciering, </w:t>
      </w:r>
      <w:r w:rsidR="006E2442">
        <w:lastRenderedPageBreak/>
        <w:t xml:space="preserve">waarvan USD 2 miljard voor klimaatadaptatie en 4 miljard voor klimaatmitigatie. De 4 miljard voor mitigatie zal worden verdeeld in 3 </w:t>
      </w:r>
      <w:r w:rsidR="00466503">
        <w:t>miljard</w:t>
      </w:r>
      <w:r w:rsidR="006E2442">
        <w:t xml:space="preserve"> voor hernieuwbare energie en 1 miljard voor duurzame steden en transport. Hiermee zal de AsDB</w:t>
      </w:r>
      <w:r>
        <w:t xml:space="preserve"> </w:t>
      </w:r>
      <w:r w:rsidR="002D4BDB">
        <w:t xml:space="preserve">naar schatting </w:t>
      </w:r>
      <w:r w:rsidR="003E1757">
        <w:t xml:space="preserve">30% van </w:t>
      </w:r>
      <w:r w:rsidR="006E2442">
        <w:t xml:space="preserve">haar </w:t>
      </w:r>
      <w:r>
        <w:t>portfolio</w:t>
      </w:r>
      <w:r w:rsidR="006E2442">
        <w:t xml:space="preserve"> aan klimaatfinanciering besteden</w:t>
      </w:r>
      <w:r w:rsidR="00887E4D">
        <w:t xml:space="preserve"> vanaf 2020</w:t>
      </w:r>
      <w:r>
        <w:t xml:space="preserve">.  </w:t>
      </w:r>
    </w:p>
    <w:p w14:paraId="6B3A89F8" w14:textId="77777777" w:rsidR="00FA4F5D" w:rsidRDefault="00FA4F5D" w:rsidP="00FA4F5D"/>
    <w:p w14:paraId="6B3A89F9" w14:textId="713606B4" w:rsidR="00FA4F5D" w:rsidRDefault="00780536" w:rsidP="00E81549">
      <w:r>
        <w:rPr>
          <w:u w:val="single"/>
        </w:rPr>
        <w:t>Private s</w:t>
      </w:r>
      <w:r w:rsidR="00FA4F5D" w:rsidRPr="00E81549">
        <w:rPr>
          <w:u w:val="single"/>
        </w:rPr>
        <w:t xml:space="preserve">ector </w:t>
      </w:r>
      <w:r>
        <w:rPr>
          <w:u w:val="single"/>
        </w:rPr>
        <w:t>ontwikkeling</w:t>
      </w:r>
    </w:p>
    <w:p w14:paraId="6B3A89FA" w14:textId="799AA146" w:rsidR="00FA4F5D" w:rsidRDefault="00FA4F5D" w:rsidP="00FA4F5D">
      <w:r w:rsidRPr="00E81549">
        <w:rPr>
          <w:i/>
        </w:rPr>
        <w:t>Relevant.</w:t>
      </w:r>
      <w:r w:rsidRPr="00956CC4">
        <w:t xml:space="preserve"> Voor de Bank is dit een steeds </w:t>
      </w:r>
      <w:r>
        <w:t xml:space="preserve">belangrijker wordend thema, </w:t>
      </w:r>
      <w:r w:rsidRPr="00956CC4">
        <w:t xml:space="preserve">bevestigd in 2014 bij de </w:t>
      </w:r>
      <w:r w:rsidR="00887E4D">
        <w:rPr>
          <w:i/>
        </w:rPr>
        <w:t xml:space="preserve">Mid </w:t>
      </w:r>
      <w:r w:rsidRPr="00887E4D">
        <w:rPr>
          <w:i/>
        </w:rPr>
        <w:t>Term Review</w:t>
      </w:r>
      <w:r w:rsidRPr="00956CC4">
        <w:t xml:space="preserve"> van </w:t>
      </w:r>
      <w:r w:rsidRPr="00887E4D">
        <w:rPr>
          <w:i/>
        </w:rPr>
        <w:t>Strategy 2020</w:t>
      </w:r>
      <w:r w:rsidRPr="00956CC4">
        <w:t xml:space="preserve">. </w:t>
      </w:r>
      <w:r w:rsidR="00BC54BD">
        <w:t>In de nieuwe langetermijn</w:t>
      </w:r>
      <w:r w:rsidR="00630FA3">
        <w:t xml:space="preserve">strategie van de Bank, </w:t>
      </w:r>
      <w:r w:rsidR="00630FA3">
        <w:rPr>
          <w:i/>
        </w:rPr>
        <w:t>Strategy 2030</w:t>
      </w:r>
      <w:r w:rsidR="00630FA3">
        <w:t xml:space="preserve">, zal Private Sector Development zo mogelijk een nog belangrijker thema zijn. </w:t>
      </w:r>
      <w:r>
        <w:t xml:space="preserve">In 2015 was de omvang van </w:t>
      </w:r>
      <w:r>
        <w:rPr>
          <w:i/>
        </w:rPr>
        <w:t xml:space="preserve">private sector operations </w:t>
      </w:r>
      <w:r>
        <w:t xml:space="preserve">USD 2,6 miljard. </w:t>
      </w:r>
      <w:r w:rsidRPr="00956CC4">
        <w:t>De doelstelling is 25% van de jaarlijkse goedkeuringen per 2020</w:t>
      </w:r>
      <w:r>
        <w:t xml:space="preserve"> voor private sectoractiviteiten, oftewel ongeveer USD 5 miljard</w:t>
      </w:r>
      <w:r w:rsidRPr="00956CC4">
        <w:t>.</w:t>
      </w:r>
      <w:r w:rsidR="0045548F">
        <w:t xml:space="preserve"> Hoewel de</w:t>
      </w:r>
      <w:r>
        <w:t xml:space="preserve"> </w:t>
      </w:r>
      <w:r>
        <w:rPr>
          <w:i/>
        </w:rPr>
        <w:t>Private Sector Operations Department</w:t>
      </w:r>
      <w:r w:rsidR="0045548F">
        <w:t xml:space="preserve"> </w:t>
      </w:r>
      <w:r>
        <w:t xml:space="preserve">relatief klein </w:t>
      </w:r>
      <w:r w:rsidR="0045548F">
        <w:t xml:space="preserve">is </w:t>
      </w:r>
      <w:r>
        <w:t xml:space="preserve">met </w:t>
      </w:r>
      <w:r w:rsidR="00DB21C3">
        <w:t xml:space="preserve">ongeveer 90 werknemers, heeft de AsDB wel aangegeven het aantal stafleden op landenkantoren te gaan uitbreiden. Het gebrek daaraan </w:t>
      </w:r>
      <w:r>
        <w:t xml:space="preserve">belemmert </w:t>
      </w:r>
      <w:r w:rsidR="00DB21C3">
        <w:t xml:space="preserve">namelijk </w:t>
      </w:r>
      <w:r>
        <w:t xml:space="preserve">het actief najagen van investeringskansen en het aangaan van investeringen in minder ontwikkelde gebieden. </w:t>
      </w:r>
    </w:p>
    <w:p w14:paraId="6B3A89FB" w14:textId="77777777" w:rsidR="00FA4F5D" w:rsidRDefault="00FA4F5D" w:rsidP="00FA4F5D"/>
    <w:p w14:paraId="6B3A89FF" w14:textId="77777777" w:rsidR="00E81549" w:rsidRPr="00E81549" w:rsidRDefault="00E81549" w:rsidP="00E81549">
      <w:pPr>
        <w:rPr>
          <w:u w:val="single"/>
        </w:rPr>
      </w:pPr>
      <w:r w:rsidRPr="00E81549">
        <w:rPr>
          <w:u w:val="single"/>
        </w:rPr>
        <w:t xml:space="preserve">Veiligheid en Rechtsorde </w:t>
      </w:r>
    </w:p>
    <w:p w14:paraId="6B3A8A00" w14:textId="1DF8EB46" w:rsidR="00FA4F5D" w:rsidRDefault="00E81549" w:rsidP="00FA4F5D">
      <w:r w:rsidRPr="00E81549">
        <w:rPr>
          <w:i/>
        </w:rPr>
        <w:t>Beperkt relevant.</w:t>
      </w:r>
      <w:r>
        <w:t xml:space="preserve"> De </w:t>
      </w:r>
      <w:r w:rsidRPr="00887E4D">
        <w:rPr>
          <w:i/>
        </w:rPr>
        <w:t>Mid Term Review</w:t>
      </w:r>
      <w:r w:rsidRPr="00956CC4">
        <w:t xml:space="preserve"> van </w:t>
      </w:r>
      <w:r w:rsidRPr="00887E4D">
        <w:rPr>
          <w:i/>
        </w:rPr>
        <w:t>Strategy</w:t>
      </w:r>
      <w:r w:rsidRPr="00956CC4">
        <w:t xml:space="preserve"> 2020 geeft</w:t>
      </w:r>
      <w:r>
        <w:t xml:space="preserve"> aan dat</w:t>
      </w:r>
      <w:r w:rsidRPr="00956CC4">
        <w:t xml:space="preserve"> de bank bijzondere aandacht (zowel financieel als via technische assistentie) </w:t>
      </w:r>
      <w:r>
        <w:t xml:space="preserve">zal geven </w:t>
      </w:r>
      <w:r w:rsidRPr="00956CC4">
        <w:t xml:space="preserve">aan landen met </w:t>
      </w:r>
      <w:r w:rsidRPr="00C37F8C">
        <w:rPr>
          <w:i/>
        </w:rPr>
        <w:t>Fragile and Conflict-Affected Situations</w:t>
      </w:r>
      <w:r>
        <w:t xml:space="preserve"> (FCAS). D</w:t>
      </w:r>
      <w:r w:rsidRPr="00956CC4">
        <w:t xml:space="preserve">e Bank </w:t>
      </w:r>
      <w:r>
        <w:t xml:space="preserve">speelt inderdaad </w:t>
      </w:r>
      <w:r w:rsidRPr="00956CC4">
        <w:t xml:space="preserve">een belangrijke rol bij de wederopbouw van Afghanistan, onder meer via het </w:t>
      </w:r>
      <w:r w:rsidRPr="00466503">
        <w:rPr>
          <w:i/>
        </w:rPr>
        <w:t>Afghanistan Reconstruction Trust Fund</w:t>
      </w:r>
      <w:r w:rsidRPr="00956CC4">
        <w:t xml:space="preserve"> (ARTF).</w:t>
      </w:r>
      <w:r>
        <w:t xml:space="preserve"> In het algemeen geldt echter dat het aantal medewerkers in dit soort FCAS-gebieden nog te beperkt is, en dat de Bank meer aandacht kan geven aan de gecompliceerde ontwikkelingscontext in dit soort gebieden.</w:t>
      </w:r>
    </w:p>
    <w:p w14:paraId="6B3A8A01" w14:textId="77777777" w:rsidR="00E81549" w:rsidRDefault="00E81549" w:rsidP="00FA4F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8"/>
        <w:gridCol w:w="1905"/>
        <w:gridCol w:w="1929"/>
        <w:gridCol w:w="1895"/>
      </w:tblGrid>
      <w:tr w:rsidR="006F749B" w14:paraId="48E9EAEE" w14:textId="77777777" w:rsidTr="006F749B">
        <w:trPr>
          <w:trHeight w:val="333"/>
        </w:trPr>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5C3A7010" w14:textId="1732DF50" w:rsidR="006F749B" w:rsidRPr="00792AB2" w:rsidRDefault="006F749B" w:rsidP="00215F88">
            <w:pPr>
              <w:rPr>
                <w:b/>
              </w:rPr>
            </w:pPr>
            <w:r>
              <w:rPr>
                <w:b/>
              </w:rPr>
              <w:t>Relevantie voor Nederlandse BHOS-prioriteiten</w:t>
            </w:r>
          </w:p>
        </w:tc>
      </w:tr>
      <w:tr w:rsidR="00FA4F5D" w14:paraId="6B3A8A06" w14:textId="77777777" w:rsidTr="006F749B">
        <w:tc>
          <w:tcPr>
            <w:tcW w:w="1968" w:type="dxa"/>
            <w:tcBorders>
              <w:top w:val="single" w:sz="12" w:space="0" w:color="auto"/>
              <w:left w:val="single" w:sz="12" w:space="0" w:color="auto"/>
              <w:bottom w:val="single" w:sz="12" w:space="0" w:color="auto"/>
            </w:tcBorders>
            <w:shd w:val="clear" w:color="auto" w:fill="BFBFBF" w:themeFill="background1" w:themeFillShade="BF"/>
          </w:tcPr>
          <w:p w14:paraId="6B3A8A02" w14:textId="77777777" w:rsidR="00FA4F5D" w:rsidRPr="00792AB2" w:rsidRDefault="00FA4F5D" w:rsidP="00215F88">
            <w:pPr>
              <w:rPr>
                <w:b/>
                <w:i/>
              </w:rPr>
            </w:pPr>
          </w:p>
        </w:tc>
        <w:tc>
          <w:tcPr>
            <w:tcW w:w="1905" w:type="dxa"/>
            <w:tcBorders>
              <w:top w:val="single" w:sz="12" w:space="0" w:color="auto"/>
              <w:bottom w:val="single" w:sz="12" w:space="0" w:color="auto"/>
            </w:tcBorders>
            <w:shd w:val="clear" w:color="auto" w:fill="BFBFBF" w:themeFill="background1" w:themeFillShade="BF"/>
          </w:tcPr>
          <w:p w14:paraId="6B3A8A03" w14:textId="77777777" w:rsidR="00FA4F5D" w:rsidRPr="00792AB2" w:rsidRDefault="00FA4F5D" w:rsidP="00215F88">
            <w:pPr>
              <w:rPr>
                <w:b/>
              </w:rPr>
            </w:pPr>
            <w:r w:rsidRPr="00792AB2">
              <w:rPr>
                <w:b/>
              </w:rPr>
              <w:t>Uitvoerend</w:t>
            </w:r>
          </w:p>
        </w:tc>
        <w:tc>
          <w:tcPr>
            <w:tcW w:w="1929" w:type="dxa"/>
            <w:tcBorders>
              <w:top w:val="single" w:sz="12" w:space="0" w:color="auto"/>
              <w:bottom w:val="single" w:sz="12" w:space="0" w:color="auto"/>
            </w:tcBorders>
            <w:shd w:val="clear" w:color="auto" w:fill="BFBFBF" w:themeFill="background1" w:themeFillShade="BF"/>
          </w:tcPr>
          <w:p w14:paraId="6B3A8A04" w14:textId="77777777" w:rsidR="00FA4F5D" w:rsidRPr="00792AB2" w:rsidRDefault="00FA4F5D" w:rsidP="00215F88">
            <w:pPr>
              <w:rPr>
                <w:b/>
              </w:rPr>
            </w:pPr>
            <w:r w:rsidRPr="00792AB2">
              <w:rPr>
                <w:b/>
              </w:rPr>
              <w:t>Coördinerend</w:t>
            </w:r>
          </w:p>
        </w:tc>
        <w:tc>
          <w:tcPr>
            <w:tcW w:w="1895" w:type="dxa"/>
            <w:tcBorders>
              <w:top w:val="single" w:sz="12" w:space="0" w:color="auto"/>
              <w:bottom w:val="single" w:sz="12" w:space="0" w:color="auto"/>
              <w:right w:val="single" w:sz="12" w:space="0" w:color="auto"/>
            </w:tcBorders>
            <w:shd w:val="clear" w:color="auto" w:fill="BFBFBF" w:themeFill="background1" w:themeFillShade="BF"/>
          </w:tcPr>
          <w:p w14:paraId="6B3A8A05" w14:textId="77777777" w:rsidR="00FA4F5D" w:rsidRPr="00792AB2" w:rsidRDefault="00FA4F5D" w:rsidP="00215F88">
            <w:pPr>
              <w:rPr>
                <w:b/>
              </w:rPr>
            </w:pPr>
            <w:r w:rsidRPr="00792AB2">
              <w:rPr>
                <w:b/>
              </w:rPr>
              <w:t>Normatief</w:t>
            </w:r>
          </w:p>
        </w:tc>
      </w:tr>
      <w:tr w:rsidR="00FA4F5D" w14:paraId="6B3A8A0B" w14:textId="77777777" w:rsidTr="00620754">
        <w:tc>
          <w:tcPr>
            <w:tcW w:w="1968" w:type="dxa"/>
            <w:tcBorders>
              <w:top w:val="single" w:sz="12" w:space="0" w:color="auto"/>
              <w:left w:val="single" w:sz="12" w:space="0" w:color="auto"/>
            </w:tcBorders>
            <w:shd w:val="clear" w:color="auto" w:fill="auto"/>
          </w:tcPr>
          <w:p w14:paraId="6B3A8A07" w14:textId="77777777" w:rsidR="00FA4F5D" w:rsidRDefault="00FA4F5D" w:rsidP="00215F88">
            <w:r>
              <w:t>Voedselzekerheid</w:t>
            </w:r>
          </w:p>
        </w:tc>
        <w:tc>
          <w:tcPr>
            <w:tcW w:w="1905" w:type="dxa"/>
            <w:tcBorders>
              <w:top w:val="single" w:sz="12" w:space="0" w:color="auto"/>
            </w:tcBorders>
            <w:shd w:val="clear" w:color="auto" w:fill="auto"/>
          </w:tcPr>
          <w:p w14:paraId="6B3A8A08" w14:textId="77777777" w:rsidR="00FA4F5D" w:rsidRDefault="00FA4F5D" w:rsidP="00215F88">
            <w:r>
              <w:t>3</w:t>
            </w:r>
          </w:p>
        </w:tc>
        <w:tc>
          <w:tcPr>
            <w:tcW w:w="1929" w:type="dxa"/>
            <w:tcBorders>
              <w:top w:val="single" w:sz="12" w:space="0" w:color="auto"/>
            </w:tcBorders>
            <w:shd w:val="clear" w:color="auto" w:fill="auto"/>
          </w:tcPr>
          <w:p w14:paraId="6B3A8A09" w14:textId="77777777" w:rsidR="00FA4F5D" w:rsidRDefault="00FA4F5D" w:rsidP="00215F88"/>
        </w:tc>
        <w:tc>
          <w:tcPr>
            <w:tcW w:w="1895" w:type="dxa"/>
            <w:tcBorders>
              <w:top w:val="single" w:sz="12" w:space="0" w:color="auto"/>
              <w:right w:val="single" w:sz="12" w:space="0" w:color="auto"/>
            </w:tcBorders>
            <w:shd w:val="clear" w:color="auto" w:fill="auto"/>
          </w:tcPr>
          <w:p w14:paraId="6B3A8A0A" w14:textId="77777777" w:rsidR="00FA4F5D" w:rsidRDefault="00FA4F5D" w:rsidP="00215F88"/>
        </w:tc>
      </w:tr>
      <w:tr w:rsidR="00FA4F5D" w14:paraId="6B3A8A10" w14:textId="77777777" w:rsidTr="00620754">
        <w:tc>
          <w:tcPr>
            <w:tcW w:w="1968" w:type="dxa"/>
            <w:tcBorders>
              <w:left w:val="single" w:sz="12" w:space="0" w:color="auto"/>
            </w:tcBorders>
            <w:shd w:val="clear" w:color="auto" w:fill="auto"/>
          </w:tcPr>
          <w:p w14:paraId="6B3A8A0C" w14:textId="77777777" w:rsidR="00FA4F5D" w:rsidRDefault="00FA4F5D" w:rsidP="00215F88">
            <w:r>
              <w:t>Water</w:t>
            </w:r>
          </w:p>
        </w:tc>
        <w:tc>
          <w:tcPr>
            <w:tcW w:w="1905" w:type="dxa"/>
            <w:shd w:val="clear" w:color="auto" w:fill="auto"/>
          </w:tcPr>
          <w:p w14:paraId="6B3A8A0D" w14:textId="77777777" w:rsidR="00FA4F5D" w:rsidRDefault="00FA4F5D" w:rsidP="00215F88">
            <w:r>
              <w:t>3</w:t>
            </w:r>
          </w:p>
        </w:tc>
        <w:tc>
          <w:tcPr>
            <w:tcW w:w="1929" w:type="dxa"/>
            <w:shd w:val="clear" w:color="auto" w:fill="auto"/>
          </w:tcPr>
          <w:p w14:paraId="6B3A8A0E" w14:textId="77777777" w:rsidR="00FA4F5D" w:rsidRDefault="00FA4F5D" w:rsidP="00215F88"/>
        </w:tc>
        <w:tc>
          <w:tcPr>
            <w:tcW w:w="1895" w:type="dxa"/>
            <w:tcBorders>
              <w:right w:val="single" w:sz="12" w:space="0" w:color="auto"/>
            </w:tcBorders>
            <w:shd w:val="clear" w:color="auto" w:fill="auto"/>
          </w:tcPr>
          <w:p w14:paraId="6B3A8A0F" w14:textId="77777777" w:rsidR="00FA4F5D" w:rsidRDefault="00FA4F5D" w:rsidP="00215F88"/>
        </w:tc>
      </w:tr>
      <w:tr w:rsidR="00FA4F5D" w14:paraId="6B3A8A15" w14:textId="77777777" w:rsidTr="00620754">
        <w:tc>
          <w:tcPr>
            <w:tcW w:w="1968" w:type="dxa"/>
            <w:tcBorders>
              <w:left w:val="single" w:sz="12" w:space="0" w:color="auto"/>
            </w:tcBorders>
            <w:shd w:val="clear" w:color="auto" w:fill="auto"/>
          </w:tcPr>
          <w:p w14:paraId="6B3A8A11" w14:textId="77777777" w:rsidR="00FA4F5D" w:rsidRDefault="00FA4F5D" w:rsidP="00215F88">
            <w:r>
              <w:t>Gendergelijkheid</w:t>
            </w:r>
          </w:p>
        </w:tc>
        <w:tc>
          <w:tcPr>
            <w:tcW w:w="1905" w:type="dxa"/>
            <w:shd w:val="clear" w:color="auto" w:fill="auto"/>
          </w:tcPr>
          <w:p w14:paraId="6B3A8A12" w14:textId="77777777" w:rsidR="00FA4F5D" w:rsidRDefault="00FA4F5D" w:rsidP="00215F88">
            <w:r>
              <w:t>3</w:t>
            </w:r>
          </w:p>
        </w:tc>
        <w:tc>
          <w:tcPr>
            <w:tcW w:w="1929" w:type="dxa"/>
            <w:shd w:val="clear" w:color="auto" w:fill="auto"/>
          </w:tcPr>
          <w:p w14:paraId="6B3A8A13" w14:textId="77777777" w:rsidR="00FA4F5D" w:rsidRDefault="00FA4F5D" w:rsidP="00215F88"/>
        </w:tc>
        <w:tc>
          <w:tcPr>
            <w:tcW w:w="1895" w:type="dxa"/>
            <w:tcBorders>
              <w:right w:val="single" w:sz="12" w:space="0" w:color="auto"/>
            </w:tcBorders>
            <w:shd w:val="clear" w:color="auto" w:fill="auto"/>
          </w:tcPr>
          <w:p w14:paraId="6B3A8A14" w14:textId="77777777" w:rsidR="00FA4F5D" w:rsidRDefault="00FA4F5D" w:rsidP="00215F88"/>
        </w:tc>
      </w:tr>
      <w:tr w:rsidR="00FA4F5D" w14:paraId="6B3A8A1A" w14:textId="77777777" w:rsidTr="00620754">
        <w:tc>
          <w:tcPr>
            <w:tcW w:w="1968" w:type="dxa"/>
            <w:tcBorders>
              <w:left w:val="single" w:sz="12" w:space="0" w:color="auto"/>
              <w:bottom w:val="single" w:sz="4" w:space="0" w:color="auto"/>
            </w:tcBorders>
            <w:shd w:val="clear" w:color="auto" w:fill="auto"/>
          </w:tcPr>
          <w:p w14:paraId="6B3A8A16" w14:textId="77777777" w:rsidR="00FA4F5D" w:rsidRDefault="00FA4F5D" w:rsidP="00215F88">
            <w:r>
              <w:t>Klimaat</w:t>
            </w:r>
          </w:p>
        </w:tc>
        <w:tc>
          <w:tcPr>
            <w:tcW w:w="1905" w:type="dxa"/>
            <w:tcBorders>
              <w:bottom w:val="single" w:sz="4" w:space="0" w:color="auto"/>
            </w:tcBorders>
            <w:shd w:val="clear" w:color="auto" w:fill="auto"/>
          </w:tcPr>
          <w:p w14:paraId="6B3A8A17" w14:textId="77777777" w:rsidR="00FA4F5D" w:rsidRDefault="00FA4F5D" w:rsidP="00215F88">
            <w:r>
              <w:t>3</w:t>
            </w:r>
          </w:p>
        </w:tc>
        <w:tc>
          <w:tcPr>
            <w:tcW w:w="1929" w:type="dxa"/>
            <w:tcBorders>
              <w:bottom w:val="single" w:sz="4" w:space="0" w:color="auto"/>
            </w:tcBorders>
            <w:shd w:val="clear" w:color="auto" w:fill="auto"/>
          </w:tcPr>
          <w:p w14:paraId="6B3A8A18" w14:textId="77777777" w:rsidR="00FA4F5D" w:rsidRDefault="00FA4F5D" w:rsidP="00215F88"/>
        </w:tc>
        <w:tc>
          <w:tcPr>
            <w:tcW w:w="1895" w:type="dxa"/>
            <w:tcBorders>
              <w:bottom w:val="single" w:sz="4" w:space="0" w:color="auto"/>
              <w:right w:val="single" w:sz="12" w:space="0" w:color="auto"/>
            </w:tcBorders>
            <w:shd w:val="clear" w:color="auto" w:fill="auto"/>
          </w:tcPr>
          <w:p w14:paraId="6B3A8A19" w14:textId="77777777" w:rsidR="00FA4F5D" w:rsidRDefault="00FA4F5D" w:rsidP="00215F88"/>
        </w:tc>
      </w:tr>
      <w:tr w:rsidR="00FA4F5D" w14:paraId="6B3A8A1F" w14:textId="77777777" w:rsidTr="00620754">
        <w:tc>
          <w:tcPr>
            <w:tcW w:w="1968" w:type="dxa"/>
            <w:tcBorders>
              <w:left w:val="single" w:sz="12" w:space="0" w:color="auto"/>
              <w:bottom w:val="single" w:sz="12" w:space="0" w:color="auto"/>
            </w:tcBorders>
            <w:shd w:val="clear" w:color="auto" w:fill="auto"/>
          </w:tcPr>
          <w:p w14:paraId="6B3A8A1B" w14:textId="6A081FD8" w:rsidR="00FA4F5D" w:rsidRDefault="00FA4F5D" w:rsidP="00780536">
            <w:r>
              <w:t xml:space="preserve">Private sector </w:t>
            </w:r>
            <w:r w:rsidR="00780536">
              <w:t>ontwikkeling</w:t>
            </w:r>
          </w:p>
        </w:tc>
        <w:tc>
          <w:tcPr>
            <w:tcW w:w="1905" w:type="dxa"/>
            <w:tcBorders>
              <w:bottom w:val="single" w:sz="12" w:space="0" w:color="auto"/>
            </w:tcBorders>
            <w:shd w:val="clear" w:color="auto" w:fill="auto"/>
          </w:tcPr>
          <w:p w14:paraId="6B3A8A1C" w14:textId="1DA5BE8D" w:rsidR="00FA4F5D" w:rsidRDefault="0045548F" w:rsidP="00215F88">
            <w:r>
              <w:t>3</w:t>
            </w:r>
          </w:p>
        </w:tc>
        <w:tc>
          <w:tcPr>
            <w:tcW w:w="1929" w:type="dxa"/>
            <w:tcBorders>
              <w:bottom w:val="single" w:sz="12" w:space="0" w:color="auto"/>
            </w:tcBorders>
            <w:shd w:val="clear" w:color="auto" w:fill="auto"/>
          </w:tcPr>
          <w:p w14:paraId="6B3A8A1D" w14:textId="77777777" w:rsidR="00FA4F5D" w:rsidRDefault="00FA4F5D" w:rsidP="00215F88"/>
        </w:tc>
        <w:tc>
          <w:tcPr>
            <w:tcW w:w="1895" w:type="dxa"/>
            <w:tcBorders>
              <w:bottom w:val="single" w:sz="12" w:space="0" w:color="auto"/>
              <w:right w:val="single" w:sz="12" w:space="0" w:color="auto"/>
            </w:tcBorders>
            <w:shd w:val="clear" w:color="auto" w:fill="auto"/>
          </w:tcPr>
          <w:p w14:paraId="6B3A8A1E" w14:textId="77777777" w:rsidR="00FA4F5D" w:rsidRDefault="00FA4F5D" w:rsidP="00215F88"/>
        </w:tc>
      </w:tr>
    </w:tbl>
    <w:p w14:paraId="3D48D402" w14:textId="77777777" w:rsidR="00514A54" w:rsidRDefault="00514A54" w:rsidP="00FA4F5D">
      <w:pPr>
        <w:pStyle w:val="Heading2"/>
        <w:tabs>
          <w:tab w:val="left" w:pos="-1162"/>
          <w:tab w:val="left" w:pos="0"/>
          <w:tab w:val="num" w:pos="1160"/>
        </w:tabs>
        <w:spacing w:line="240" w:lineRule="auto"/>
        <w:ind w:hanging="1162"/>
      </w:pPr>
    </w:p>
    <w:p w14:paraId="6B3A8A25" w14:textId="41D902AF" w:rsidR="00FA4F5D" w:rsidRDefault="0091776E" w:rsidP="00FA4F5D">
      <w:pPr>
        <w:pStyle w:val="Heading2"/>
        <w:tabs>
          <w:tab w:val="left" w:pos="-1162"/>
          <w:tab w:val="left" w:pos="0"/>
          <w:tab w:val="num" w:pos="1160"/>
        </w:tabs>
        <w:spacing w:line="240" w:lineRule="auto"/>
        <w:ind w:hanging="1162"/>
      </w:pPr>
      <w:bookmarkStart w:id="44" w:name="_Toc491437356"/>
      <w:r>
        <w:t>5</w:t>
      </w:r>
      <w:r w:rsidR="00FA4F5D">
        <w:t>.2</w:t>
      </w:r>
      <w:r w:rsidR="00FA4F5D">
        <w:tab/>
        <w:t>Overige relevantie</w:t>
      </w:r>
      <w:bookmarkEnd w:id="44"/>
    </w:p>
    <w:p w14:paraId="6B3A8A26" w14:textId="77777777" w:rsidR="00FA4F5D" w:rsidRPr="00E81549" w:rsidRDefault="00FA4F5D" w:rsidP="00E81549">
      <w:pPr>
        <w:rPr>
          <w:u w:val="single"/>
        </w:rPr>
      </w:pPr>
      <w:r w:rsidRPr="00E81549">
        <w:rPr>
          <w:u w:val="single"/>
        </w:rPr>
        <w:t xml:space="preserve">Regionale </w:t>
      </w:r>
      <w:r w:rsidR="00645791" w:rsidRPr="00E81549">
        <w:rPr>
          <w:u w:val="single"/>
        </w:rPr>
        <w:t xml:space="preserve">samenwerking en </w:t>
      </w:r>
      <w:r w:rsidRPr="00E81549">
        <w:rPr>
          <w:u w:val="single"/>
        </w:rPr>
        <w:t>economische integratie</w:t>
      </w:r>
    </w:p>
    <w:p w14:paraId="6B3A8A27" w14:textId="3E6328C1" w:rsidR="00FA4F5D" w:rsidRDefault="00EE73B9" w:rsidP="00FA4F5D">
      <w:r>
        <w:t xml:space="preserve">Regionale integratie is een van de drie pijlers van </w:t>
      </w:r>
      <w:r w:rsidR="00657A32" w:rsidRPr="00EE73B9">
        <w:rPr>
          <w:i/>
        </w:rPr>
        <w:t>Strategy 2020</w:t>
      </w:r>
      <w:r w:rsidR="00657A32">
        <w:t>.</w:t>
      </w:r>
      <w:r>
        <w:t xml:space="preserve"> </w:t>
      </w:r>
      <w:r w:rsidR="00FA4F5D">
        <w:t>De AsDB speelt een actieve en door de r</w:t>
      </w:r>
      <w:r w:rsidR="008A118D">
        <w:t>egionale landen (zoals de ASEAN-</w:t>
      </w:r>
      <w:r w:rsidR="00FA4F5D">
        <w:t>landen)</w:t>
      </w:r>
      <w:r>
        <w:t xml:space="preserve"> en ontwikkelingspartners </w:t>
      </w:r>
      <w:r w:rsidR="00FA4F5D">
        <w:t>gewaardeerde rol op het gebied van economische integratie binnen de regio</w:t>
      </w:r>
      <w:r w:rsidR="001C5F8B">
        <w:t>.</w:t>
      </w:r>
    </w:p>
    <w:p w14:paraId="6B3A8A2B" w14:textId="1545AE51" w:rsidR="00FA4F5D" w:rsidRDefault="00FA4F5D" w:rsidP="00FA4F5D"/>
    <w:p w14:paraId="6B3A8A2C" w14:textId="77777777" w:rsidR="00D76A52" w:rsidRPr="00E81549" w:rsidRDefault="00D76A52" w:rsidP="00E81549">
      <w:pPr>
        <w:rPr>
          <w:u w:val="single"/>
        </w:rPr>
      </w:pPr>
      <w:r w:rsidRPr="00E81549">
        <w:rPr>
          <w:u w:val="single"/>
        </w:rPr>
        <w:t>Onderwijs</w:t>
      </w:r>
    </w:p>
    <w:p w14:paraId="6B3A8A2D" w14:textId="2FEAE92E" w:rsidR="00D76A52" w:rsidRDefault="00D76A52" w:rsidP="00D76A52">
      <w:r>
        <w:t>Van de ADF</w:t>
      </w:r>
      <w:r w:rsidR="006D2679">
        <w:t>-middelen ging de afgelopen jaren</w:t>
      </w:r>
      <w:r>
        <w:t xml:space="preserve"> ongeveer 8% naar onderwijs.</w:t>
      </w:r>
      <w:r w:rsidR="006D2679">
        <w:t xml:space="preserve"> In 2013 – 2015 was 83% van de onderwijsprojecten succesvol, een goede score</w:t>
      </w:r>
      <w:r w:rsidR="001C5F8B">
        <w:t>.</w:t>
      </w:r>
      <w:r w:rsidR="006D2679">
        <w:t xml:space="preserve"> </w:t>
      </w:r>
      <w:r w:rsidR="00645791">
        <w:t>Door AsDB-interventies waren in 2015 voor 6,8 miljoen scholieren en studenten onderwijsfaciliteiten verbeterd.</w:t>
      </w:r>
    </w:p>
    <w:p w14:paraId="6B3A8A2E" w14:textId="77777777" w:rsidR="00D76A52" w:rsidRDefault="00D76A52" w:rsidP="00FA4F5D"/>
    <w:p w14:paraId="6B3A8A2F" w14:textId="77777777" w:rsidR="00FA4F5D" w:rsidRPr="00E81549" w:rsidRDefault="00FA4F5D" w:rsidP="00E81549">
      <w:pPr>
        <w:rPr>
          <w:u w:val="single"/>
        </w:rPr>
      </w:pPr>
      <w:r w:rsidRPr="00E81549">
        <w:rPr>
          <w:u w:val="single"/>
        </w:rPr>
        <w:t>Gezondheidszorg</w:t>
      </w:r>
    </w:p>
    <w:p w14:paraId="6B3A8A30" w14:textId="410DF82B" w:rsidR="00FA4F5D" w:rsidRDefault="00D76A52" w:rsidP="00FA4F5D">
      <w:r>
        <w:t>Van de ADF-</w:t>
      </w:r>
      <w:r w:rsidR="006D2679">
        <w:t xml:space="preserve">middelen ging de afgelopen jaren </w:t>
      </w:r>
      <w:r>
        <w:t>ongeveer 6% naar gezondheidszorg</w:t>
      </w:r>
      <w:r w:rsidR="001C5F8B">
        <w:t>.</w:t>
      </w:r>
      <w:r w:rsidR="00A476B1">
        <w:t xml:space="preserve"> Met een succesratio van 93% is dit een sector waarin de Bank zeer goed presteert. </w:t>
      </w:r>
    </w:p>
    <w:p w14:paraId="4FF65C57" w14:textId="77777777" w:rsidR="003D1046" w:rsidRDefault="003D1046" w:rsidP="00FA4F5D"/>
    <w:p w14:paraId="6B3A8A31" w14:textId="77777777" w:rsidR="00FA4F5D" w:rsidRDefault="00FA4F5D" w:rsidP="00FA4F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12"/>
        <w:gridCol w:w="1934"/>
        <w:gridCol w:w="1903"/>
      </w:tblGrid>
      <w:tr w:rsidR="006F749B" w14:paraId="329C9FF6" w14:textId="77777777" w:rsidTr="002E5EC5">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7E1F5B9" w14:textId="675FD4F2" w:rsidR="006F749B" w:rsidRPr="006F749B" w:rsidRDefault="006F749B" w:rsidP="00215F88">
            <w:pPr>
              <w:rPr>
                <w:i/>
              </w:rPr>
            </w:pPr>
            <w:r>
              <w:rPr>
                <w:b/>
              </w:rPr>
              <w:t>Overige Relevantie</w:t>
            </w:r>
          </w:p>
        </w:tc>
      </w:tr>
      <w:tr w:rsidR="00FA4F5D" w14:paraId="6B3A8A36" w14:textId="77777777" w:rsidTr="006F749B">
        <w:tc>
          <w:tcPr>
            <w:tcW w:w="1948" w:type="dxa"/>
            <w:tcBorders>
              <w:top w:val="single" w:sz="12" w:space="0" w:color="auto"/>
              <w:left w:val="single" w:sz="12" w:space="0" w:color="auto"/>
              <w:bottom w:val="single" w:sz="12" w:space="0" w:color="auto"/>
            </w:tcBorders>
            <w:shd w:val="clear" w:color="auto" w:fill="BFBFBF" w:themeFill="background1" w:themeFillShade="BF"/>
          </w:tcPr>
          <w:p w14:paraId="6B3A8A32" w14:textId="77777777" w:rsidR="00FA4F5D" w:rsidRPr="00B06CE6" w:rsidRDefault="00FA4F5D" w:rsidP="00215F88">
            <w:pPr>
              <w:rPr>
                <w:i/>
              </w:rPr>
            </w:pPr>
          </w:p>
        </w:tc>
        <w:tc>
          <w:tcPr>
            <w:tcW w:w="1912" w:type="dxa"/>
            <w:tcBorders>
              <w:top w:val="single" w:sz="12" w:space="0" w:color="auto"/>
              <w:bottom w:val="single" w:sz="12" w:space="0" w:color="auto"/>
            </w:tcBorders>
            <w:shd w:val="clear" w:color="auto" w:fill="BFBFBF" w:themeFill="background1" w:themeFillShade="BF"/>
          </w:tcPr>
          <w:p w14:paraId="6B3A8A33" w14:textId="77777777" w:rsidR="00FA4F5D" w:rsidRPr="00B06CE6" w:rsidRDefault="00FA4F5D" w:rsidP="00215F88">
            <w:pPr>
              <w:rPr>
                <w:b/>
              </w:rPr>
            </w:pPr>
            <w:r w:rsidRPr="00B06CE6">
              <w:rPr>
                <w:b/>
              </w:rPr>
              <w:t>Uitvoerend</w:t>
            </w:r>
          </w:p>
        </w:tc>
        <w:tc>
          <w:tcPr>
            <w:tcW w:w="1934" w:type="dxa"/>
            <w:tcBorders>
              <w:top w:val="single" w:sz="12" w:space="0" w:color="auto"/>
              <w:bottom w:val="single" w:sz="12" w:space="0" w:color="auto"/>
            </w:tcBorders>
            <w:shd w:val="clear" w:color="auto" w:fill="BFBFBF" w:themeFill="background1" w:themeFillShade="BF"/>
          </w:tcPr>
          <w:p w14:paraId="6B3A8A34" w14:textId="77777777" w:rsidR="00FA4F5D" w:rsidRPr="00B06CE6" w:rsidRDefault="00FA4F5D" w:rsidP="00215F88">
            <w:pPr>
              <w:rPr>
                <w:b/>
              </w:rPr>
            </w:pPr>
            <w:r w:rsidRPr="00B06CE6">
              <w:rPr>
                <w:b/>
              </w:rPr>
              <w:t>Coördinerend</w:t>
            </w:r>
          </w:p>
        </w:tc>
        <w:tc>
          <w:tcPr>
            <w:tcW w:w="1903" w:type="dxa"/>
            <w:tcBorders>
              <w:top w:val="single" w:sz="12" w:space="0" w:color="auto"/>
              <w:bottom w:val="single" w:sz="12" w:space="0" w:color="auto"/>
              <w:right w:val="single" w:sz="12" w:space="0" w:color="auto"/>
            </w:tcBorders>
            <w:shd w:val="clear" w:color="auto" w:fill="BFBFBF" w:themeFill="background1" w:themeFillShade="BF"/>
          </w:tcPr>
          <w:p w14:paraId="6B3A8A35" w14:textId="77777777" w:rsidR="00FA4F5D" w:rsidRPr="00B06CE6" w:rsidRDefault="00FA4F5D" w:rsidP="00215F88">
            <w:pPr>
              <w:rPr>
                <w:b/>
              </w:rPr>
            </w:pPr>
            <w:r w:rsidRPr="00B06CE6">
              <w:rPr>
                <w:b/>
              </w:rPr>
              <w:t>Normatief</w:t>
            </w:r>
          </w:p>
        </w:tc>
      </w:tr>
      <w:tr w:rsidR="00FA4F5D" w14:paraId="6B3A8A3B" w14:textId="77777777" w:rsidTr="006F749B">
        <w:tc>
          <w:tcPr>
            <w:tcW w:w="1948" w:type="dxa"/>
            <w:tcBorders>
              <w:top w:val="single" w:sz="12" w:space="0" w:color="auto"/>
              <w:left w:val="single" w:sz="12" w:space="0" w:color="auto"/>
            </w:tcBorders>
            <w:shd w:val="clear" w:color="auto" w:fill="auto"/>
          </w:tcPr>
          <w:p w14:paraId="6B3A8A37" w14:textId="77777777" w:rsidR="00FA4F5D" w:rsidRDefault="00FA4F5D" w:rsidP="00215F88">
            <w:r>
              <w:t xml:space="preserve">Regionale </w:t>
            </w:r>
            <w:r w:rsidR="00645791">
              <w:t xml:space="preserve">samenwerking en </w:t>
            </w:r>
            <w:r>
              <w:t>economische integratie</w:t>
            </w:r>
          </w:p>
        </w:tc>
        <w:tc>
          <w:tcPr>
            <w:tcW w:w="1912" w:type="dxa"/>
            <w:tcBorders>
              <w:top w:val="single" w:sz="12" w:space="0" w:color="auto"/>
            </w:tcBorders>
            <w:shd w:val="clear" w:color="auto" w:fill="auto"/>
          </w:tcPr>
          <w:p w14:paraId="6B3A8A38" w14:textId="77777777" w:rsidR="00FA4F5D" w:rsidRDefault="00BB38D2" w:rsidP="00215F88">
            <w:r>
              <w:t>3</w:t>
            </w:r>
          </w:p>
        </w:tc>
        <w:tc>
          <w:tcPr>
            <w:tcW w:w="1934" w:type="dxa"/>
            <w:tcBorders>
              <w:top w:val="single" w:sz="12" w:space="0" w:color="auto"/>
            </w:tcBorders>
            <w:shd w:val="clear" w:color="auto" w:fill="auto"/>
          </w:tcPr>
          <w:p w14:paraId="6B3A8A39" w14:textId="77777777" w:rsidR="00FA4F5D" w:rsidRDefault="00FA4F5D" w:rsidP="00215F88"/>
        </w:tc>
        <w:tc>
          <w:tcPr>
            <w:tcW w:w="1903" w:type="dxa"/>
            <w:tcBorders>
              <w:top w:val="single" w:sz="12" w:space="0" w:color="auto"/>
              <w:right w:val="single" w:sz="12" w:space="0" w:color="auto"/>
            </w:tcBorders>
            <w:shd w:val="clear" w:color="auto" w:fill="auto"/>
          </w:tcPr>
          <w:p w14:paraId="6B3A8A3A" w14:textId="77777777" w:rsidR="00FA4F5D" w:rsidRDefault="00FF4E43" w:rsidP="00215F88">
            <w:r>
              <w:t>3</w:t>
            </w:r>
          </w:p>
        </w:tc>
      </w:tr>
      <w:tr w:rsidR="00FA4F5D" w14:paraId="6B3A8A45" w14:textId="77777777" w:rsidTr="006F749B">
        <w:tc>
          <w:tcPr>
            <w:tcW w:w="1948" w:type="dxa"/>
            <w:tcBorders>
              <w:left w:val="single" w:sz="12" w:space="0" w:color="auto"/>
            </w:tcBorders>
            <w:shd w:val="clear" w:color="auto" w:fill="auto"/>
          </w:tcPr>
          <w:p w14:paraId="6B3A8A41" w14:textId="77777777" w:rsidR="00FA4F5D" w:rsidRDefault="00FA4F5D" w:rsidP="00215F88">
            <w:r>
              <w:t>Gezondheidszorg</w:t>
            </w:r>
          </w:p>
        </w:tc>
        <w:tc>
          <w:tcPr>
            <w:tcW w:w="1912" w:type="dxa"/>
            <w:shd w:val="clear" w:color="auto" w:fill="auto"/>
          </w:tcPr>
          <w:p w14:paraId="6B3A8A42" w14:textId="77777777" w:rsidR="00FA4F5D" w:rsidRDefault="00645791" w:rsidP="00215F88">
            <w:r>
              <w:t>4</w:t>
            </w:r>
          </w:p>
        </w:tc>
        <w:tc>
          <w:tcPr>
            <w:tcW w:w="1934" w:type="dxa"/>
            <w:shd w:val="clear" w:color="auto" w:fill="auto"/>
          </w:tcPr>
          <w:p w14:paraId="6B3A8A43" w14:textId="77777777" w:rsidR="00FA4F5D" w:rsidRDefault="00FA4F5D" w:rsidP="00215F88"/>
        </w:tc>
        <w:tc>
          <w:tcPr>
            <w:tcW w:w="1903" w:type="dxa"/>
            <w:tcBorders>
              <w:right w:val="single" w:sz="12" w:space="0" w:color="auto"/>
            </w:tcBorders>
            <w:shd w:val="clear" w:color="auto" w:fill="auto"/>
          </w:tcPr>
          <w:p w14:paraId="6B3A8A44" w14:textId="77777777" w:rsidR="00FA4F5D" w:rsidRDefault="00FA4F5D" w:rsidP="00215F88"/>
        </w:tc>
      </w:tr>
      <w:tr w:rsidR="00FA4F5D" w14:paraId="6B3A8A4A" w14:textId="77777777" w:rsidTr="006F749B">
        <w:tc>
          <w:tcPr>
            <w:tcW w:w="1948" w:type="dxa"/>
            <w:tcBorders>
              <w:left w:val="single" w:sz="12" w:space="0" w:color="auto"/>
              <w:bottom w:val="single" w:sz="12" w:space="0" w:color="auto"/>
            </w:tcBorders>
            <w:shd w:val="clear" w:color="auto" w:fill="auto"/>
          </w:tcPr>
          <w:p w14:paraId="6B3A8A46" w14:textId="77777777" w:rsidR="00FA4F5D" w:rsidRDefault="00FA4F5D" w:rsidP="00215F88">
            <w:r>
              <w:t>Onderwijs</w:t>
            </w:r>
          </w:p>
        </w:tc>
        <w:tc>
          <w:tcPr>
            <w:tcW w:w="1912" w:type="dxa"/>
            <w:tcBorders>
              <w:bottom w:val="single" w:sz="12" w:space="0" w:color="auto"/>
            </w:tcBorders>
            <w:shd w:val="clear" w:color="auto" w:fill="auto"/>
          </w:tcPr>
          <w:p w14:paraId="6B3A8A47" w14:textId="77777777" w:rsidR="00FA4F5D" w:rsidRDefault="00645791" w:rsidP="00215F88">
            <w:r>
              <w:t>4</w:t>
            </w:r>
          </w:p>
        </w:tc>
        <w:tc>
          <w:tcPr>
            <w:tcW w:w="1934" w:type="dxa"/>
            <w:tcBorders>
              <w:bottom w:val="single" w:sz="12" w:space="0" w:color="auto"/>
            </w:tcBorders>
            <w:shd w:val="clear" w:color="auto" w:fill="auto"/>
          </w:tcPr>
          <w:p w14:paraId="6B3A8A48" w14:textId="77777777" w:rsidR="00FA4F5D" w:rsidRDefault="00FA4F5D" w:rsidP="00215F88"/>
        </w:tc>
        <w:tc>
          <w:tcPr>
            <w:tcW w:w="1903" w:type="dxa"/>
            <w:tcBorders>
              <w:bottom w:val="single" w:sz="12" w:space="0" w:color="auto"/>
              <w:right w:val="single" w:sz="12" w:space="0" w:color="auto"/>
            </w:tcBorders>
            <w:shd w:val="clear" w:color="auto" w:fill="auto"/>
          </w:tcPr>
          <w:p w14:paraId="6B3A8A49" w14:textId="77777777" w:rsidR="00FA4F5D" w:rsidRDefault="00FA4F5D" w:rsidP="00215F88"/>
        </w:tc>
      </w:tr>
    </w:tbl>
    <w:p w14:paraId="6B3A8A4B" w14:textId="77777777" w:rsidR="00FA4F5D" w:rsidRDefault="00FA4F5D" w:rsidP="00FA4F5D"/>
    <w:p w14:paraId="6B3A8A4C" w14:textId="77777777" w:rsidR="00FA4F5D" w:rsidRPr="00193994" w:rsidRDefault="00FA4F5D" w:rsidP="00FA4F5D"/>
    <w:p w14:paraId="6B3A8A4D" w14:textId="77777777" w:rsidR="00FA4F5D" w:rsidRDefault="00FA4F5D" w:rsidP="00FA4F5D"/>
    <w:p w14:paraId="6B3A8A4E" w14:textId="77777777" w:rsidR="00FA4F5D" w:rsidRDefault="00FA4F5D" w:rsidP="003D5452"/>
    <w:p w14:paraId="6B3A8A4F" w14:textId="77777777" w:rsidR="009720A7" w:rsidRDefault="009720A7" w:rsidP="003D5452"/>
    <w:p w14:paraId="6B3A8A50" w14:textId="77777777" w:rsidR="009720A7" w:rsidRDefault="009720A7" w:rsidP="003D5452"/>
    <w:p w14:paraId="6B3A8A51" w14:textId="77777777" w:rsidR="009720A7" w:rsidRDefault="009720A7" w:rsidP="003D5452"/>
    <w:p w14:paraId="6B3A8A52" w14:textId="77777777" w:rsidR="009720A7" w:rsidRDefault="009720A7" w:rsidP="003D5452"/>
    <w:p w14:paraId="6B3A8A53" w14:textId="77777777" w:rsidR="009720A7" w:rsidRDefault="009720A7" w:rsidP="003D5452"/>
    <w:p w14:paraId="6B3A8A54" w14:textId="77777777" w:rsidR="009720A7" w:rsidRDefault="009720A7" w:rsidP="003D5452"/>
    <w:p w14:paraId="6B3A8A55" w14:textId="77777777" w:rsidR="009720A7" w:rsidRDefault="009720A7" w:rsidP="003D5452"/>
    <w:p w14:paraId="6B3A8A56" w14:textId="77777777" w:rsidR="009720A7" w:rsidRDefault="009720A7" w:rsidP="003D5452"/>
    <w:p w14:paraId="6B3A8A57" w14:textId="77777777" w:rsidR="009720A7" w:rsidRDefault="009720A7" w:rsidP="003D5452"/>
    <w:p w14:paraId="6B3A8A58" w14:textId="77777777" w:rsidR="009720A7" w:rsidRDefault="009720A7" w:rsidP="003D5452"/>
    <w:p w14:paraId="6B3A8A59" w14:textId="77777777" w:rsidR="009720A7" w:rsidRDefault="009720A7" w:rsidP="003D5452"/>
    <w:p w14:paraId="6B3A8A5A" w14:textId="77777777" w:rsidR="009720A7" w:rsidRDefault="009720A7" w:rsidP="003D5452"/>
    <w:p w14:paraId="6B3A8A5B" w14:textId="77777777" w:rsidR="009720A7" w:rsidRDefault="009720A7" w:rsidP="003D5452"/>
    <w:p w14:paraId="6B3A8A5C" w14:textId="77777777" w:rsidR="009720A7" w:rsidRDefault="009720A7" w:rsidP="003D5452"/>
    <w:p w14:paraId="6B3A8A5D" w14:textId="77777777" w:rsidR="009720A7" w:rsidRDefault="009720A7" w:rsidP="003D5452"/>
    <w:p w14:paraId="6B3A8A5E" w14:textId="77777777" w:rsidR="009720A7" w:rsidRDefault="009720A7" w:rsidP="003D5452"/>
    <w:p w14:paraId="6B3A8A5F" w14:textId="77777777" w:rsidR="009720A7" w:rsidRDefault="009720A7" w:rsidP="003D5452"/>
    <w:p w14:paraId="6B3A8A60" w14:textId="77777777" w:rsidR="009720A7" w:rsidRDefault="009720A7" w:rsidP="003D5452"/>
    <w:p w14:paraId="6B3A8A61" w14:textId="77777777" w:rsidR="009720A7" w:rsidRDefault="009720A7" w:rsidP="003D5452"/>
    <w:p w14:paraId="6B3A8A62" w14:textId="77777777" w:rsidR="009720A7" w:rsidRDefault="009720A7" w:rsidP="003D5452"/>
    <w:p w14:paraId="6B3A8A63" w14:textId="77777777" w:rsidR="009720A7" w:rsidRDefault="009720A7" w:rsidP="003D5452"/>
    <w:p w14:paraId="6B3A8A64" w14:textId="77777777" w:rsidR="009720A7" w:rsidRDefault="009720A7" w:rsidP="003D5452"/>
    <w:p w14:paraId="6B3A8A65" w14:textId="77777777" w:rsidR="009720A7" w:rsidRDefault="009720A7" w:rsidP="003D5452"/>
    <w:p w14:paraId="6B3A8A66" w14:textId="77777777" w:rsidR="009720A7" w:rsidRDefault="009720A7" w:rsidP="003D5452"/>
    <w:p w14:paraId="6B3A8A67" w14:textId="77777777" w:rsidR="009720A7" w:rsidRDefault="009720A7" w:rsidP="003D5452"/>
    <w:p w14:paraId="6B3A8A68" w14:textId="77777777" w:rsidR="009720A7" w:rsidRDefault="009720A7" w:rsidP="003D5452"/>
    <w:p w14:paraId="6B3A8A69" w14:textId="77777777" w:rsidR="009720A7" w:rsidRDefault="009720A7" w:rsidP="003D5452"/>
    <w:p w14:paraId="6B3A8A6A" w14:textId="77777777" w:rsidR="009720A7" w:rsidRDefault="009720A7" w:rsidP="003D5452"/>
    <w:p w14:paraId="6B3A8A6B" w14:textId="77777777" w:rsidR="009720A7" w:rsidRDefault="009720A7" w:rsidP="003D5452"/>
    <w:p w14:paraId="6B3A8A6C" w14:textId="77777777" w:rsidR="009720A7" w:rsidRDefault="009720A7" w:rsidP="003D5452"/>
    <w:p w14:paraId="6B3A8A6D" w14:textId="77777777" w:rsidR="009720A7" w:rsidRDefault="009720A7" w:rsidP="003D5452"/>
    <w:sectPr w:rsidR="009720A7" w:rsidSect="00EE1B9E">
      <w:endnotePr>
        <w:numFmt w:val="decimal"/>
      </w:endnotePr>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A8A72" w14:textId="77777777" w:rsidR="00033C91" w:rsidRDefault="00033C91">
      <w:r>
        <w:separator/>
      </w:r>
    </w:p>
    <w:p w14:paraId="6B3A8A73" w14:textId="77777777" w:rsidR="00033C91" w:rsidRDefault="00033C91"/>
    <w:p w14:paraId="6B3A8A74" w14:textId="77777777" w:rsidR="00033C91" w:rsidRDefault="00033C91"/>
  </w:endnote>
  <w:endnote w:type="continuationSeparator" w:id="0">
    <w:p w14:paraId="6B3A8A75" w14:textId="77777777" w:rsidR="00033C91" w:rsidRDefault="00033C91">
      <w:r>
        <w:continuationSeparator/>
      </w:r>
    </w:p>
    <w:p w14:paraId="6B3A8A76" w14:textId="77777777" w:rsidR="00033C91" w:rsidRDefault="00033C91"/>
    <w:p w14:paraId="6B3A8A77" w14:textId="77777777" w:rsidR="00033C91" w:rsidRDefault="00033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IdealSans-Ligh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033C91" w:rsidRPr="00785F18" w14:paraId="6B3A8A80" w14:textId="77777777" w:rsidTr="003B518B">
      <w:trPr>
        <w:trHeight w:hRule="exact" w:val="240"/>
      </w:trPr>
      <w:tc>
        <w:tcPr>
          <w:tcW w:w="7752" w:type="dxa"/>
          <w:gridSpan w:val="3"/>
          <w:shd w:val="clear" w:color="auto" w:fill="auto"/>
        </w:tcPr>
        <w:p w14:paraId="6B3A8A7F" w14:textId="77777777" w:rsidR="00033C91" w:rsidRPr="00785F18" w:rsidRDefault="00033C91">
          <w:pPr>
            <w:spacing w:line="240" w:lineRule="auto"/>
          </w:pPr>
        </w:p>
      </w:tc>
    </w:tr>
    <w:tr w:rsidR="00033C91" w:rsidRPr="00785F18" w14:paraId="6B3A8A83" w14:textId="77777777" w:rsidTr="003B518B">
      <w:trPr>
        <w:gridAfter w:val="1"/>
        <w:wAfter w:w="99" w:type="dxa"/>
        <w:trHeight w:hRule="exact" w:val="240"/>
      </w:trPr>
      <w:tc>
        <w:tcPr>
          <w:tcW w:w="6260" w:type="dxa"/>
          <w:shd w:val="clear" w:color="auto" w:fill="auto"/>
        </w:tcPr>
        <w:p w14:paraId="6B3A8A81" w14:textId="4A1F6DCD" w:rsidR="00033C91" w:rsidRPr="00785F18" w:rsidRDefault="00DA601E" w:rsidP="003B518B">
          <w:pPr>
            <w:pStyle w:val="Huisstijl-Paginanummering"/>
            <w:rPr>
              <w:rStyle w:val="Huisstijl-Rubricering"/>
            </w:rPr>
          </w:pPr>
          <w:fldSimple w:instr=" DOCPROPERTY  L_PAGE  \* MERGEFORMAT ">
            <w:r w:rsidR="0006157C">
              <w:t>Pagina</w:t>
            </w:r>
          </w:fldSimple>
          <w:r w:rsidR="00033C91" w:rsidRPr="00785F18">
            <w:t xml:space="preserve"> </w:t>
          </w:r>
          <w:r w:rsidR="00033C91" w:rsidRPr="00785F18">
            <w:fldChar w:fldCharType="begin"/>
          </w:r>
          <w:r w:rsidR="00033C91" w:rsidRPr="00785F18">
            <w:instrText xml:space="preserve"> PAGE   \* MERGEFORMAT </w:instrText>
          </w:r>
          <w:r w:rsidR="00033C91" w:rsidRPr="00785F18">
            <w:fldChar w:fldCharType="separate"/>
          </w:r>
          <w:r w:rsidR="00033C91">
            <w:t>19</w:t>
          </w:r>
          <w:r w:rsidR="00033C91" w:rsidRPr="00785F18">
            <w:fldChar w:fldCharType="end"/>
          </w:r>
          <w:r w:rsidR="00033C91" w:rsidRPr="00785F18">
            <w:t xml:space="preserve"> </w:t>
          </w:r>
          <w:fldSimple w:instr=" DOCPROPERTY  L_PAGEOF  \* MERGEFORMAT ">
            <w:r w:rsidR="0006157C">
              <w:t>van</w:t>
            </w:r>
          </w:fldSimple>
          <w:r w:rsidR="00033C91" w:rsidRPr="00785F18">
            <w:t xml:space="preserve"> </w:t>
          </w:r>
          <w:fldSimple w:instr=" NUMPAGES   \* MERGEFORMAT ">
            <w:r w:rsidR="0006157C">
              <w:t>17</w:t>
            </w:r>
          </w:fldSimple>
        </w:p>
      </w:tc>
      <w:tc>
        <w:tcPr>
          <w:tcW w:w="1392" w:type="dxa"/>
        </w:tcPr>
        <w:p w14:paraId="6B3A8A82" w14:textId="77777777" w:rsidR="00033C91" w:rsidRPr="00785F18" w:rsidRDefault="00033C91" w:rsidP="003B518B">
          <w:pPr>
            <w:pStyle w:val="Huisstijl-Paginanummering"/>
            <w:jc w:val="right"/>
          </w:pPr>
        </w:p>
      </w:tc>
    </w:tr>
  </w:tbl>
  <w:p w14:paraId="6B3A8A84" w14:textId="77777777" w:rsidR="00033C91" w:rsidRPr="00785F18" w:rsidRDefault="00033C91"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gridCol w:w="1392"/>
    </w:tblGrid>
    <w:tr w:rsidR="00033C91" w:rsidRPr="00A8053B" w14:paraId="6B3A8A87" w14:textId="77777777" w:rsidTr="003B518B">
      <w:trPr>
        <w:trHeight w:hRule="exact" w:val="240"/>
      </w:trPr>
      <w:tc>
        <w:tcPr>
          <w:tcW w:w="6260" w:type="dxa"/>
          <w:shd w:val="clear" w:color="auto" w:fill="auto"/>
        </w:tcPr>
        <w:p w14:paraId="6B3A8A85" w14:textId="77777777" w:rsidR="00033C91" w:rsidRPr="00785F18" w:rsidRDefault="00033C91" w:rsidP="003B518B">
          <w:pPr>
            <w:rPr>
              <w:rStyle w:val="Huisstijl-Rubricering"/>
            </w:rPr>
          </w:pPr>
        </w:p>
      </w:tc>
      <w:tc>
        <w:tcPr>
          <w:tcW w:w="1392" w:type="dxa"/>
        </w:tcPr>
        <w:p w14:paraId="6B3A8A86" w14:textId="674E8614" w:rsidR="00033C91" w:rsidRPr="00A8053B" w:rsidRDefault="00DA601E" w:rsidP="003B518B">
          <w:pPr>
            <w:pStyle w:val="Huisstijl-Paginanummering"/>
            <w:jc w:val="right"/>
            <w:rPr>
              <w:sz w:val="16"/>
              <w:szCs w:val="16"/>
            </w:rPr>
          </w:pPr>
          <w:r w:rsidRPr="00A8053B">
            <w:rPr>
              <w:sz w:val="16"/>
              <w:szCs w:val="16"/>
            </w:rPr>
            <w:fldChar w:fldCharType="begin"/>
          </w:r>
          <w:r w:rsidRPr="00A8053B">
            <w:rPr>
              <w:sz w:val="16"/>
              <w:szCs w:val="16"/>
            </w:rPr>
            <w:instrText xml:space="preserve"> DOCPROPERTY  L_PAGE  \* MERGEFORMAT </w:instrText>
          </w:r>
          <w:r w:rsidRPr="00A8053B">
            <w:rPr>
              <w:sz w:val="16"/>
              <w:szCs w:val="16"/>
            </w:rPr>
            <w:fldChar w:fldCharType="separate"/>
          </w:r>
          <w:r w:rsidR="0006157C" w:rsidRPr="00A8053B">
            <w:rPr>
              <w:sz w:val="16"/>
              <w:szCs w:val="16"/>
            </w:rPr>
            <w:t>Pagina</w:t>
          </w:r>
          <w:r w:rsidRPr="00A8053B">
            <w:rPr>
              <w:sz w:val="16"/>
              <w:szCs w:val="16"/>
            </w:rPr>
            <w:fldChar w:fldCharType="end"/>
          </w:r>
          <w:r w:rsidR="00033C91" w:rsidRPr="00A8053B">
            <w:rPr>
              <w:sz w:val="16"/>
              <w:szCs w:val="16"/>
            </w:rPr>
            <w:t xml:space="preserve"> </w:t>
          </w:r>
          <w:r w:rsidR="00033C91" w:rsidRPr="00A8053B">
            <w:rPr>
              <w:rStyle w:val="PageNumber"/>
              <w:noProof w:val="0"/>
              <w:sz w:val="16"/>
              <w:szCs w:val="16"/>
            </w:rPr>
            <w:fldChar w:fldCharType="begin"/>
          </w:r>
          <w:r w:rsidR="00033C91" w:rsidRPr="00A8053B">
            <w:rPr>
              <w:rStyle w:val="PageNumber"/>
              <w:noProof w:val="0"/>
              <w:sz w:val="16"/>
              <w:szCs w:val="16"/>
            </w:rPr>
            <w:instrText xml:space="preserve"> PAGE </w:instrText>
          </w:r>
          <w:r w:rsidR="00033C91" w:rsidRPr="00A8053B">
            <w:rPr>
              <w:rStyle w:val="PageNumber"/>
              <w:noProof w:val="0"/>
              <w:sz w:val="16"/>
              <w:szCs w:val="16"/>
            </w:rPr>
            <w:fldChar w:fldCharType="separate"/>
          </w:r>
          <w:r w:rsidR="0093264C">
            <w:rPr>
              <w:rStyle w:val="PageNumber"/>
              <w:sz w:val="16"/>
              <w:szCs w:val="16"/>
            </w:rPr>
            <w:t>2</w:t>
          </w:r>
          <w:r w:rsidR="00033C91" w:rsidRPr="00A8053B">
            <w:rPr>
              <w:rStyle w:val="PageNumber"/>
              <w:noProof w:val="0"/>
              <w:sz w:val="16"/>
              <w:szCs w:val="16"/>
            </w:rPr>
            <w:fldChar w:fldCharType="end"/>
          </w:r>
          <w:r w:rsidR="00033C91" w:rsidRPr="00A8053B">
            <w:rPr>
              <w:sz w:val="16"/>
              <w:szCs w:val="16"/>
            </w:rPr>
            <w:t xml:space="preserve"> </w:t>
          </w:r>
          <w:r w:rsidRPr="00A8053B">
            <w:rPr>
              <w:sz w:val="16"/>
              <w:szCs w:val="16"/>
            </w:rPr>
            <w:fldChar w:fldCharType="begin"/>
          </w:r>
          <w:r w:rsidRPr="00A8053B">
            <w:rPr>
              <w:sz w:val="16"/>
              <w:szCs w:val="16"/>
            </w:rPr>
            <w:instrText xml:space="preserve"> DOCPROPERTY  L_PAGEOF  \* MERGEFORMAT </w:instrText>
          </w:r>
          <w:r w:rsidRPr="00A8053B">
            <w:rPr>
              <w:sz w:val="16"/>
              <w:szCs w:val="16"/>
            </w:rPr>
            <w:fldChar w:fldCharType="separate"/>
          </w:r>
          <w:r w:rsidR="0006157C" w:rsidRPr="00A8053B">
            <w:rPr>
              <w:sz w:val="16"/>
              <w:szCs w:val="16"/>
            </w:rPr>
            <w:t>van</w:t>
          </w:r>
          <w:r w:rsidRPr="00A8053B">
            <w:rPr>
              <w:sz w:val="16"/>
              <w:szCs w:val="16"/>
            </w:rPr>
            <w:fldChar w:fldCharType="end"/>
          </w:r>
          <w:r w:rsidR="00033C91" w:rsidRPr="00A8053B">
            <w:rPr>
              <w:sz w:val="16"/>
              <w:szCs w:val="16"/>
            </w:rPr>
            <w:t xml:space="preserve"> </w:t>
          </w:r>
          <w:r w:rsidRPr="00A8053B">
            <w:rPr>
              <w:sz w:val="16"/>
              <w:szCs w:val="16"/>
            </w:rPr>
            <w:fldChar w:fldCharType="begin"/>
          </w:r>
          <w:r w:rsidRPr="00A8053B">
            <w:rPr>
              <w:sz w:val="16"/>
              <w:szCs w:val="16"/>
            </w:rPr>
            <w:instrText xml:space="preserve"> NUMPAGES   \* MERGEFORMAT </w:instrText>
          </w:r>
          <w:r w:rsidRPr="00A8053B">
            <w:rPr>
              <w:sz w:val="16"/>
              <w:szCs w:val="16"/>
            </w:rPr>
            <w:fldChar w:fldCharType="separate"/>
          </w:r>
          <w:r w:rsidR="0093264C">
            <w:rPr>
              <w:sz w:val="16"/>
              <w:szCs w:val="16"/>
            </w:rPr>
            <w:t>17</w:t>
          </w:r>
          <w:r w:rsidRPr="00A8053B">
            <w:rPr>
              <w:sz w:val="16"/>
              <w:szCs w:val="16"/>
            </w:rPr>
            <w:fldChar w:fldCharType="end"/>
          </w:r>
        </w:p>
      </w:tc>
    </w:tr>
  </w:tbl>
  <w:p w14:paraId="6B3A8A88" w14:textId="77777777" w:rsidR="00033C91" w:rsidRPr="00785F18" w:rsidRDefault="00033C91" w:rsidP="003B518B">
    <w:pPr>
      <w:spacing w:line="240" w:lineRule="auto"/>
      <w:rPr>
        <w:sz w:val="2"/>
        <w:szCs w:val="2"/>
      </w:rPr>
    </w:pPr>
  </w:p>
  <w:p w14:paraId="6B3A8A89" w14:textId="77777777" w:rsidR="00033C91" w:rsidRPr="00785F18" w:rsidRDefault="00033C91"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tblGrid>
    <w:tr w:rsidR="00A8053B" w:rsidRPr="00785F18" w14:paraId="6B3A8A9C" w14:textId="77777777" w:rsidTr="00B06D4B">
      <w:trPr>
        <w:trHeight w:hRule="exact" w:val="240"/>
      </w:trPr>
      <w:tc>
        <w:tcPr>
          <w:tcW w:w="6260" w:type="dxa"/>
          <w:shd w:val="clear" w:color="auto" w:fill="auto"/>
        </w:tcPr>
        <w:p w14:paraId="6B3A8A9A" w14:textId="77777777" w:rsidR="00A8053B" w:rsidRPr="00785F18" w:rsidRDefault="00A8053B" w:rsidP="00B06D4B">
          <w:pPr>
            <w:rPr>
              <w:rStyle w:val="Huisstijl-Rubricering"/>
            </w:rPr>
          </w:pPr>
        </w:p>
      </w:tc>
    </w:tr>
  </w:tbl>
  <w:p w14:paraId="6B3A8A9D" w14:textId="77777777" w:rsidR="00033C91" w:rsidRPr="00785F18" w:rsidRDefault="00033C91" w:rsidP="00101F98">
    <w:pPr>
      <w:spacing w:line="240" w:lineRule="auto"/>
      <w:rPr>
        <w:sz w:val="2"/>
        <w:szCs w:val="2"/>
      </w:rPr>
    </w:pPr>
  </w:p>
  <w:p w14:paraId="6B3A8A9E" w14:textId="77777777" w:rsidR="00033C91" w:rsidRPr="00785F18" w:rsidRDefault="00033C91" w:rsidP="0039744C">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A8A6E" w14:textId="77777777" w:rsidR="00033C91" w:rsidRPr="00B35331" w:rsidRDefault="00033C91" w:rsidP="00B35331">
      <w:pPr>
        <w:pStyle w:val="Footer"/>
      </w:pPr>
    </w:p>
  </w:footnote>
  <w:footnote w:type="continuationSeparator" w:id="0">
    <w:p w14:paraId="6B3A8A6F" w14:textId="77777777" w:rsidR="00033C91" w:rsidRDefault="00033C91">
      <w:r>
        <w:continuationSeparator/>
      </w:r>
    </w:p>
    <w:p w14:paraId="6B3A8A70" w14:textId="77777777" w:rsidR="00033C91" w:rsidRDefault="00033C91"/>
    <w:p w14:paraId="6B3A8A71" w14:textId="77777777" w:rsidR="00033C91" w:rsidRDefault="00033C91"/>
  </w:footnote>
  <w:footnote w:id="1">
    <w:p w14:paraId="6B3A8AA5" w14:textId="77777777" w:rsidR="00033C91" w:rsidRDefault="00033C91" w:rsidP="005150FC">
      <w:pPr>
        <w:pStyle w:val="FootnoteText"/>
      </w:pPr>
      <w:r>
        <w:rPr>
          <w:rStyle w:val="FootnoteReference"/>
        </w:rPr>
        <w:footnoteRef/>
      </w:r>
      <w:r>
        <w:t xml:space="preserve"> </w:t>
      </w:r>
      <w:r>
        <w:tab/>
        <w:t xml:space="preserve">Binnen MOPAN evalueert Nederland samen met 18 gelijkgezinde landen het functioneren van VN organisaties en Internationale Financiële Instellingen. Vanaf 2015 worden, per keer, in een tweejaarlijkse cyclus, ongeveer 13 organisaties doorgelicht op organisatorisch functioneren en ontwikkelingseffectiviteit.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A8A78" w14:textId="77777777" w:rsidR="00033C91" w:rsidRPr="00785F18" w:rsidRDefault="00033C91">
    <w:pPr>
      <w:pStyle w:val="Header"/>
    </w:pPr>
  </w:p>
  <w:p w14:paraId="6B3A8A79" w14:textId="77777777" w:rsidR="00033C91" w:rsidRPr="00785F18" w:rsidRDefault="00033C91"/>
  <w:p w14:paraId="6B3A8A7A" w14:textId="77777777" w:rsidR="00033C91" w:rsidRPr="00785F18" w:rsidRDefault="00033C9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A8A7B" w14:textId="77777777" w:rsidR="00033C91" w:rsidRPr="00785F18" w:rsidRDefault="00033C91"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033C91" w:rsidRPr="008517DE" w14:paraId="6B3A8A7D" w14:textId="77777777" w:rsidTr="002E14E1">
      <w:trPr>
        <w:trHeight w:val="400"/>
      </w:trPr>
      <w:tc>
        <w:tcPr>
          <w:tcW w:w="7520" w:type="dxa"/>
          <w:shd w:val="clear" w:color="auto" w:fill="auto"/>
        </w:tcPr>
        <w:p w14:paraId="6B3A8A7C" w14:textId="1E391020" w:rsidR="00033C91" w:rsidRPr="008517DE" w:rsidRDefault="00033C91" w:rsidP="00041B43">
          <w:pPr>
            <w:adjustRightInd w:val="0"/>
            <w:spacing w:line="180" w:lineRule="exact"/>
            <w:rPr>
              <w:sz w:val="13"/>
              <w:lang w:val="en-GB"/>
            </w:rPr>
          </w:pPr>
          <w:r>
            <w:rPr>
              <w:rStyle w:val="Huisstijl-Koptekst"/>
            </w:rPr>
            <w:fldChar w:fldCharType="begin"/>
          </w:r>
          <w:r>
            <w:rPr>
              <w:rStyle w:val="Huisstijl-Koptekst"/>
            </w:rPr>
            <w:instrText xml:space="preserve"> Titel </w:instrText>
          </w:r>
          <w:r>
            <w:rPr>
              <w:rStyle w:val="Huisstijl-Koptekst"/>
            </w:rPr>
            <w:fldChar w:fldCharType="separate"/>
          </w:r>
          <w:r w:rsidR="0006157C" w:rsidRPr="00B36546">
            <w:t>Scorecard</w:t>
          </w:r>
          <w:r>
            <w:rPr>
              <w:rStyle w:val="Huisstijl-Koptekst"/>
            </w:rPr>
            <w:fldChar w:fldCharType="end"/>
          </w:r>
          <w:r w:rsidRPr="008517DE">
            <w:rPr>
              <w:rStyle w:val="Huisstijl-Koptekst"/>
              <w:lang w:val="en-GB"/>
            </w:rPr>
            <w:t xml:space="preserve"> | </w:t>
          </w:r>
          <w:r>
            <w:rPr>
              <w:rStyle w:val="Huisstijl-Koptekst"/>
            </w:rPr>
            <w:t>Asian Development Bank</w:t>
          </w:r>
        </w:p>
      </w:tc>
    </w:tr>
  </w:tbl>
  <w:p w14:paraId="6B3A8A7E" w14:textId="77777777" w:rsidR="00033C91" w:rsidRPr="008517DE" w:rsidRDefault="00033C91"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A8A8A" w14:textId="77777777" w:rsidR="00033C91" w:rsidRPr="00785F18" w:rsidRDefault="00033C91" w:rsidP="006E263E">
    <w:r w:rsidRPr="00785F18">
      <w:rPr>
        <w:noProof/>
      </w:rPr>
      <mc:AlternateContent>
        <mc:Choice Requires="wps">
          <w:drawing>
            <wp:anchor distT="0" distB="0" distL="114300" distR="114300" simplePos="0" relativeHeight="251657728" behindDoc="0" locked="0" layoutInCell="1" allowOverlap="1" wp14:anchorId="6B3A8AA3" wp14:editId="6B3A8AA4">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33C91" w14:paraId="6B3A8ACE" w14:textId="77777777">
                            <w:trPr>
                              <w:trHeight w:val="2636"/>
                            </w:trPr>
                            <w:tc>
                              <w:tcPr>
                                <w:tcW w:w="737" w:type="dxa"/>
                                <w:shd w:val="clear" w:color="auto" w:fill="auto"/>
                              </w:tcPr>
                              <w:p w14:paraId="6B3A8ACC" w14:textId="77777777" w:rsidR="00033C91" w:rsidRDefault="00033C91" w:rsidP="006E263E">
                                <w:pPr>
                                  <w:spacing w:line="240" w:lineRule="auto"/>
                                </w:pPr>
                                <w:bookmarkStart w:id="4" w:name="bm_BZlogo"/>
                                <w:bookmarkEnd w:id="4"/>
                                <w:r>
                                  <w:rPr>
                                    <w:noProof/>
                                  </w:rPr>
                                  <w:drawing>
                                    <wp:inline distT="0" distB="0" distL="0" distR="0" wp14:anchorId="6B3A8AD0" wp14:editId="6B3A8AD1">
                                      <wp:extent cx="467995" cy="1584960"/>
                                      <wp:effectExtent l="0" t="0" r="825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1584960"/>
                                              </a:xfrm>
                                              <a:prstGeom prst="rect">
                                                <a:avLst/>
                                              </a:prstGeom>
                                              <a:noFill/>
                                              <a:ln>
                                                <a:noFill/>
                                              </a:ln>
                                            </pic:spPr>
                                          </pic:pic>
                                        </a:graphicData>
                                      </a:graphic>
                                    </wp:inline>
                                  </w:drawing>
                                </w:r>
                              </w:p>
                            </w:tc>
                            <w:tc>
                              <w:tcPr>
                                <w:tcW w:w="5383" w:type="dxa"/>
                                <w:shd w:val="clear" w:color="auto" w:fill="auto"/>
                              </w:tcPr>
                              <w:p w14:paraId="6B3A8ACD" w14:textId="77777777" w:rsidR="00033C91" w:rsidRDefault="00033C91" w:rsidP="006E263E">
                                <w:pPr>
                                  <w:spacing w:line="240" w:lineRule="auto"/>
                                </w:pPr>
                                <w:r>
                                  <w:rPr>
                                    <w:noProof/>
                                  </w:rPr>
                                  <w:drawing>
                                    <wp:inline distT="0" distB="0" distL="0" distR="0" wp14:anchorId="6B3A8AD2" wp14:editId="6B3A8AD3">
                                      <wp:extent cx="2443480" cy="1652905"/>
                                      <wp:effectExtent l="0" t="0" r="0" b="4445"/>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3480" cy="1652905"/>
                                              </a:xfrm>
                                              <a:prstGeom prst="rect">
                                                <a:avLst/>
                                              </a:prstGeom>
                                              <a:noFill/>
                                              <a:ln>
                                                <a:noFill/>
                                              </a:ln>
                                            </pic:spPr>
                                          </pic:pic>
                                        </a:graphicData>
                                      </a:graphic>
                                    </wp:inline>
                                  </w:drawing>
                                </w:r>
                              </w:p>
                            </w:tc>
                          </w:tr>
                        </w:tbl>
                        <w:p w14:paraId="6B3A8ACF" w14:textId="77777777" w:rsidR="00033C91" w:rsidRDefault="00033C91"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3A8AA3"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33C91" w14:paraId="6B3A8ACE" w14:textId="77777777">
                      <w:trPr>
                        <w:trHeight w:val="2636"/>
                      </w:trPr>
                      <w:tc>
                        <w:tcPr>
                          <w:tcW w:w="737" w:type="dxa"/>
                          <w:shd w:val="clear" w:color="auto" w:fill="auto"/>
                        </w:tcPr>
                        <w:p w14:paraId="6B3A8ACC" w14:textId="77777777" w:rsidR="00033C91" w:rsidRDefault="00033C91" w:rsidP="006E263E">
                          <w:pPr>
                            <w:spacing w:line="240" w:lineRule="auto"/>
                          </w:pPr>
                          <w:bookmarkStart w:id="5" w:name="bm_BZlogo"/>
                          <w:bookmarkEnd w:id="5"/>
                          <w:r>
                            <w:rPr>
                              <w:noProof/>
                            </w:rPr>
                            <w:drawing>
                              <wp:inline distT="0" distB="0" distL="0" distR="0" wp14:anchorId="6B3A8AD0" wp14:editId="6B3A8AD1">
                                <wp:extent cx="467995" cy="1584960"/>
                                <wp:effectExtent l="0" t="0" r="825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1584960"/>
                                        </a:xfrm>
                                        <a:prstGeom prst="rect">
                                          <a:avLst/>
                                        </a:prstGeom>
                                        <a:noFill/>
                                        <a:ln>
                                          <a:noFill/>
                                        </a:ln>
                                      </pic:spPr>
                                    </pic:pic>
                                  </a:graphicData>
                                </a:graphic>
                              </wp:inline>
                            </w:drawing>
                          </w:r>
                        </w:p>
                      </w:tc>
                      <w:tc>
                        <w:tcPr>
                          <w:tcW w:w="5383" w:type="dxa"/>
                          <w:shd w:val="clear" w:color="auto" w:fill="auto"/>
                        </w:tcPr>
                        <w:p w14:paraId="6B3A8ACD" w14:textId="77777777" w:rsidR="00033C91" w:rsidRDefault="00033C91" w:rsidP="006E263E">
                          <w:pPr>
                            <w:spacing w:line="240" w:lineRule="auto"/>
                          </w:pPr>
                          <w:r>
                            <w:rPr>
                              <w:noProof/>
                            </w:rPr>
                            <w:drawing>
                              <wp:inline distT="0" distB="0" distL="0" distR="0" wp14:anchorId="6B3A8AD2" wp14:editId="6B3A8AD3">
                                <wp:extent cx="2443480" cy="1652905"/>
                                <wp:effectExtent l="0" t="0" r="0" b="4445"/>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3480" cy="1652905"/>
                                        </a:xfrm>
                                        <a:prstGeom prst="rect">
                                          <a:avLst/>
                                        </a:prstGeom>
                                        <a:noFill/>
                                        <a:ln>
                                          <a:noFill/>
                                        </a:ln>
                                      </pic:spPr>
                                    </pic:pic>
                                  </a:graphicData>
                                </a:graphic>
                              </wp:inline>
                            </w:drawing>
                          </w:r>
                        </w:p>
                      </w:tc>
                    </w:tr>
                  </w:tbl>
                  <w:p w14:paraId="6B3A8ACF" w14:textId="77777777" w:rsidR="00033C91" w:rsidRDefault="00033C91"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033C91" w:rsidRPr="00785F18" w14:paraId="6B3A8A8C" w14:textId="77777777" w:rsidTr="000A01F6">
      <w:trPr>
        <w:cantSplit/>
        <w:trHeight w:hRule="exact" w:val="3340"/>
      </w:trPr>
      <w:tc>
        <w:tcPr>
          <w:tcW w:w="5640" w:type="dxa"/>
          <w:shd w:val="clear" w:color="auto" w:fill="auto"/>
        </w:tcPr>
        <w:p w14:paraId="6B3A8A8B" w14:textId="77777777" w:rsidR="00033C91" w:rsidRPr="00785F18" w:rsidRDefault="00033C91" w:rsidP="00094B45">
          <w:pPr>
            <w:ind w:left="240" w:hanging="240"/>
          </w:pPr>
        </w:p>
      </w:tc>
    </w:tr>
    <w:tr w:rsidR="00033C91" w:rsidRPr="00B36546" w14:paraId="6B3A8A92" w14:textId="77777777" w:rsidTr="007B0280">
      <w:trPr>
        <w:cantSplit/>
        <w:trHeight w:hRule="exact" w:val="1440"/>
      </w:trPr>
      <w:tc>
        <w:tcPr>
          <w:tcW w:w="5640" w:type="dxa"/>
          <w:shd w:val="clear" w:color="auto" w:fill="auto"/>
        </w:tcPr>
        <w:p w14:paraId="6B3A8A8D" w14:textId="77777777" w:rsidR="00033C91" w:rsidRPr="00785F18" w:rsidRDefault="00033C91" w:rsidP="000C0FB6">
          <w:pPr>
            <w:rPr>
              <w:rStyle w:val="Huisstijl-Rubricering"/>
              <w:smallCaps w:val="0"/>
            </w:rPr>
          </w:pPr>
        </w:p>
        <w:p w14:paraId="6B3A8A8E" w14:textId="77777777" w:rsidR="00033C91" w:rsidRPr="00785F18" w:rsidRDefault="00033C91" w:rsidP="000C0FB6">
          <w:pPr>
            <w:spacing w:line="180" w:lineRule="atLeast"/>
            <w:rPr>
              <w:rStyle w:val="Huisstijl-Rubricering"/>
              <w:smallCaps w:val="0"/>
            </w:rPr>
          </w:pPr>
        </w:p>
        <w:p w14:paraId="6B3A8A8F" w14:textId="77777777" w:rsidR="00033C91" w:rsidRDefault="00033C91" w:rsidP="00B36546">
          <w:pPr>
            <w:pStyle w:val="Title"/>
          </w:pPr>
          <w:bookmarkStart w:id="6" w:name="titel"/>
          <w:r w:rsidRPr="00B36546">
            <w:t>Scorecard</w:t>
          </w:r>
          <w:bookmarkEnd w:id="6"/>
          <w:r w:rsidRPr="00B36546">
            <w:t xml:space="preserve">  </w:t>
          </w:r>
          <w:bookmarkStart w:id="7" w:name="subtitel"/>
          <w:r>
            <w:t xml:space="preserve"> A</w:t>
          </w:r>
          <w:r>
            <w:rPr>
              <w:rStyle w:val="SubtitleChar"/>
            </w:rPr>
            <w:t xml:space="preserve">sian Development Bank </w:t>
          </w:r>
          <w:bookmarkEnd w:id="7"/>
        </w:p>
        <w:p w14:paraId="6B3A8A90" w14:textId="77777777" w:rsidR="00033C91" w:rsidRPr="00B36546" w:rsidRDefault="00033C91" w:rsidP="00B36546">
          <w:pPr>
            <w:rPr>
              <w:lang w:val="en-GB"/>
            </w:rPr>
          </w:pPr>
        </w:p>
        <w:p w14:paraId="6B3A8A91" w14:textId="77777777" w:rsidR="00033C91" w:rsidRPr="00B36546" w:rsidRDefault="00033C91" w:rsidP="00B36546">
          <w:pPr>
            <w:tabs>
              <w:tab w:val="left" w:pos="3281"/>
            </w:tabs>
            <w:rPr>
              <w:lang w:val="en-GB"/>
            </w:rPr>
          </w:pPr>
          <w:r w:rsidRPr="00B36546">
            <w:rPr>
              <w:lang w:val="en-GB"/>
            </w:rPr>
            <w:tab/>
          </w:r>
        </w:p>
      </w:tc>
    </w:tr>
    <w:tr w:rsidR="00033C91" w:rsidRPr="00B36546" w14:paraId="6B3A8A94" w14:textId="77777777" w:rsidTr="000A01F6">
      <w:trPr>
        <w:cantSplit/>
        <w:trHeight w:hRule="exact" w:val="240"/>
      </w:trPr>
      <w:tc>
        <w:tcPr>
          <w:tcW w:w="5640" w:type="dxa"/>
          <w:shd w:val="clear" w:color="auto" w:fill="auto"/>
        </w:tcPr>
        <w:p w14:paraId="6B3A8A93" w14:textId="77777777" w:rsidR="00033C91" w:rsidRPr="00B36546" w:rsidRDefault="00033C91" w:rsidP="00B60860">
          <w:pPr>
            <w:rPr>
              <w:lang w:val="en-GB"/>
            </w:rPr>
          </w:pPr>
        </w:p>
      </w:tc>
    </w:tr>
    <w:tr w:rsidR="00033C91" w:rsidRPr="00B36546" w14:paraId="6B3A8A96" w14:textId="77777777" w:rsidTr="000A01F6">
      <w:trPr>
        <w:cantSplit/>
        <w:trHeight w:hRule="exact" w:val="480"/>
      </w:trPr>
      <w:tc>
        <w:tcPr>
          <w:tcW w:w="5640" w:type="dxa"/>
          <w:shd w:val="clear" w:color="auto" w:fill="auto"/>
        </w:tcPr>
        <w:p w14:paraId="6B3A8A95" w14:textId="77777777" w:rsidR="00033C91" w:rsidRPr="00B36546" w:rsidRDefault="00033C91" w:rsidP="00EF0ED5">
          <w:pPr>
            <w:rPr>
              <w:lang w:val="en-GB"/>
            </w:rPr>
          </w:pPr>
        </w:p>
      </w:tc>
    </w:tr>
  </w:tbl>
  <w:p w14:paraId="6B3A8A97" w14:textId="7C11702E" w:rsidR="00033C91" w:rsidRPr="00B36546" w:rsidRDefault="00033C91">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15 </w:t>
    </w:r>
    <w:r w:rsidR="006F749B">
      <w:rPr>
        <w:lang w:val="en-GB"/>
      </w:rPr>
      <w:t>augustus</w:t>
    </w:r>
    <w:r>
      <w:rPr>
        <w:lang w:val="en-GB"/>
      </w:rPr>
      <w:t xml:space="preserve"> 2017</w:t>
    </w:r>
  </w:p>
  <w:p w14:paraId="6B3A8A98" w14:textId="77777777" w:rsidR="00033C91" w:rsidRPr="00B36546" w:rsidRDefault="00033C91">
    <w:pPr>
      <w:rPr>
        <w:lang w:val="en-GB"/>
      </w:rPr>
    </w:pPr>
  </w:p>
  <w:p w14:paraId="6B3A8A99" w14:textId="77777777" w:rsidR="00033C91" w:rsidRPr="00785F18" w:rsidRDefault="00033C91"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A8A9F" w14:textId="77777777" w:rsidR="00033C91" w:rsidRPr="00785F18" w:rsidRDefault="00033C91"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033C91" w:rsidRPr="008517DE" w14:paraId="6B3A8AA1" w14:textId="77777777" w:rsidTr="00B06D4B">
      <w:trPr>
        <w:trHeight w:val="400"/>
      </w:trPr>
      <w:tc>
        <w:tcPr>
          <w:tcW w:w="7520" w:type="dxa"/>
          <w:shd w:val="clear" w:color="auto" w:fill="auto"/>
        </w:tcPr>
        <w:p w14:paraId="6B3A8AA0" w14:textId="3FE55DE8" w:rsidR="00033C91" w:rsidRPr="008517DE" w:rsidRDefault="00033C91" w:rsidP="00B06D4B">
          <w:pPr>
            <w:adjustRightInd w:val="0"/>
            <w:spacing w:line="180" w:lineRule="exact"/>
            <w:rPr>
              <w:sz w:val="13"/>
              <w:lang w:val="en-GB"/>
            </w:rPr>
          </w:pPr>
          <w:r w:rsidRPr="004111DA">
            <w:rPr>
              <w:rStyle w:val="Huisstijl-Koptekst"/>
              <w:sz w:val="18"/>
              <w:szCs w:val="18"/>
            </w:rPr>
            <w:fldChar w:fldCharType="begin"/>
          </w:r>
          <w:r w:rsidRPr="004111DA">
            <w:rPr>
              <w:rStyle w:val="Huisstijl-Koptekst"/>
              <w:sz w:val="18"/>
              <w:szCs w:val="18"/>
              <w:lang w:val="en-GB"/>
            </w:rPr>
            <w:instrText xml:space="preserve"> REF  titel  \* MERGEFORMAT </w:instrText>
          </w:r>
          <w:r w:rsidRPr="004111DA">
            <w:rPr>
              <w:rStyle w:val="Huisstijl-Koptekst"/>
              <w:sz w:val="18"/>
              <w:szCs w:val="18"/>
            </w:rPr>
            <w:fldChar w:fldCharType="separate"/>
          </w:r>
          <w:r w:rsidR="0006157C" w:rsidRPr="0006157C">
            <w:rPr>
              <w:rStyle w:val="Huisstijl-Koptekst"/>
              <w:sz w:val="18"/>
              <w:szCs w:val="18"/>
              <w:lang w:val="en-GB"/>
            </w:rPr>
            <w:t>Scorecard</w:t>
          </w:r>
          <w:r w:rsidRPr="004111DA">
            <w:rPr>
              <w:rStyle w:val="Huisstijl-Koptekst"/>
              <w:sz w:val="18"/>
              <w:szCs w:val="18"/>
            </w:rPr>
            <w:fldChar w:fldCharType="end"/>
          </w:r>
          <w:r w:rsidRPr="007B163C">
            <w:rPr>
              <w:rStyle w:val="Huisstijl-Koptekst"/>
              <w:lang w:val="en-GB"/>
            </w:rPr>
            <w:t xml:space="preserve"> | </w:t>
          </w:r>
          <w:r>
            <w:rPr>
              <w:rStyle w:val="Huisstijl-Koptekst"/>
              <w:lang w:val="en-GB"/>
            </w:rPr>
            <w:t>Organisatie</w:t>
          </w:r>
          <w:r w:rsidRPr="008517DE">
            <w:rPr>
              <w:sz w:val="13"/>
              <w:lang w:val="en-GB"/>
            </w:rPr>
            <w:t xml:space="preserve"> </w:t>
          </w:r>
        </w:p>
      </w:tc>
    </w:tr>
  </w:tbl>
  <w:p w14:paraId="6B3A8AA2" w14:textId="77777777" w:rsidR="00033C91" w:rsidRPr="008517DE" w:rsidRDefault="00033C91"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3BB5F57"/>
    <w:multiLevelType w:val="multilevel"/>
    <w:tmpl w:val="5AEEDE88"/>
    <w:numStyleLink w:val="StyleBulleted"/>
  </w:abstractNum>
  <w:abstractNum w:abstractNumId="2"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15:restartNumberingAfterBreak="0">
    <w:nsid w:val="06F223EA"/>
    <w:multiLevelType w:val="hybridMultilevel"/>
    <w:tmpl w:val="E8D0067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7"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23655D"/>
    <w:multiLevelType w:val="multilevel"/>
    <w:tmpl w:val="5AEEDE88"/>
    <w:numStyleLink w:val="StyleBulleted"/>
  </w:abstractNum>
  <w:abstractNum w:abstractNumId="9"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A5A20BC"/>
    <w:multiLevelType w:val="multilevel"/>
    <w:tmpl w:val="5AEEDE88"/>
    <w:numStyleLink w:val="StyleBulleted"/>
  </w:abstractNum>
  <w:abstractNum w:abstractNumId="11"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3"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2F82FF2"/>
    <w:multiLevelType w:val="multilevel"/>
    <w:tmpl w:val="5AEEDE88"/>
    <w:numStyleLink w:val="StyleBulleted"/>
  </w:abstractNum>
  <w:abstractNum w:abstractNumId="16" w15:restartNumberingAfterBreak="0">
    <w:nsid w:val="251F4FAF"/>
    <w:multiLevelType w:val="multilevel"/>
    <w:tmpl w:val="D2E63EE8"/>
    <w:lvl w:ilvl="0">
      <w:start w:val="3"/>
      <w:numFmt w:val="decimal"/>
      <w:lvlText w:val="%1"/>
      <w:lvlJc w:val="left"/>
      <w:pPr>
        <w:ind w:left="-802" w:hanging="360"/>
      </w:pPr>
      <w:rPr>
        <w:rFonts w:hint="default"/>
      </w:rPr>
    </w:lvl>
    <w:lvl w:ilvl="1">
      <w:start w:val="2"/>
      <w:numFmt w:val="decimal"/>
      <w:isLgl/>
      <w:lvlText w:val="%1.%2"/>
      <w:lvlJc w:val="left"/>
      <w:pPr>
        <w:ind w:left="-442" w:hanging="720"/>
      </w:pPr>
      <w:rPr>
        <w:rFonts w:hint="default"/>
      </w:rPr>
    </w:lvl>
    <w:lvl w:ilvl="2">
      <w:start w:val="1"/>
      <w:numFmt w:val="lowerLetter"/>
      <w:isLgl/>
      <w:lvlText w:val="%1.%2.%3"/>
      <w:lvlJc w:val="left"/>
      <w:pPr>
        <w:ind w:left="-442" w:hanging="720"/>
      </w:pPr>
      <w:rPr>
        <w:rFonts w:hint="default"/>
      </w:rPr>
    </w:lvl>
    <w:lvl w:ilvl="3">
      <w:start w:val="1"/>
      <w:numFmt w:val="decimal"/>
      <w:isLgl/>
      <w:lvlText w:val="%1.%2.%3.%4"/>
      <w:lvlJc w:val="left"/>
      <w:pPr>
        <w:ind w:left="-82" w:hanging="1080"/>
      </w:pPr>
      <w:rPr>
        <w:rFonts w:hint="default"/>
      </w:rPr>
    </w:lvl>
    <w:lvl w:ilvl="4">
      <w:start w:val="1"/>
      <w:numFmt w:val="decimal"/>
      <w:isLgl/>
      <w:lvlText w:val="%1.%2.%3.%4.%5"/>
      <w:lvlJc w:val="left"/>
      <w:pPr>
        <w:ind w:left="-82" w:hanging="1080"/>
      </w:pPr>
      <w:rPr>
        <w:rFonts w:hint="default"/>
      </w:rPr>
    </w:lvl>
    <w:lvl w:ilvl="5">
      <w:start w:val="1"/>
      <w:numFmt w:val="decimal"/>
      <w:isLgl/>
      <w:lvlText w:val="%1.%2.%3.%4.%5.%6"/>
      <w:lvlJc w:val="left"/>
      <w:pPr>
        <w:ind w:left="278" w:hanging="1440"/>
      </w:pPr>
      <w:rPr>
        <w:rFonts w:hint="default"/>
      </w:rPr>
    </w:lvl>
    <w:lvl w:ilvl="6">
      <w:start w:val="1"/>
      <w:numFmt w:val="decimal"/>
      <w:isLgl/>
      <w:lvlText w:val="%1.%2.%3.%4.%5.%6.%7"/>
      <w:lvlJc w:val="left"/>
      <w:pPr>
        <w:ind w:left="638" w:hanging="1800"/>
      </w:pPr>
      <w:rPr>
        <w:rFonts w:hint="default"/>
      </w:rPr>
    </w:lvl>
    <w:lvl w:ilvl="7">
      <w:start w:val="1"/>
      <w:numFmt w:val="decimal"/>
      <w:isLgl/>
      <w:lvlText w:val="%1.%2.%3.%4.%5.%6.%7.%8"/>
      <w:lvlJc w:val="left"/>
      <w:pPr>
        <w:ind w:left="638" w:hanging="1800"/>
      </w:pPr>
      <w:rPr>
        <w:rFonts w:hint="default"/>
      </w:rPr>
    </w:lvl>
    <w:lvl w:ilvl="8">
      <w:start w:val="1"/>
      <w:numFmt w:val="decimal"/>
      <w:isLgl/>
      <w:lvlText w:val="%1.%2.%3.%4.%5.%6.%7.%8.%9"/>
      <w:lvlJc w:val="left"/>
      <w:pPr>
        <w:ind w:left="998" w:hanging="2160"/>
      </w:pPr>
      <w:rPr>
        <w:rFonts w:hint="default"/>
      </w:rPr>
    </w:lvl>
  </w:abstractNum>
  <w:abstractNum w:abstractNumId="17"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72E4A80"/>
    <w:multiLevelType w:val="hybridMultilevel"/>
    <w:tmpl w:val="EDCA0F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98175DA"/>
    <w:multiLevelType w:val="hybridMultilevel"/>
    <w:tmpl w:val="4C744D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1"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2"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5" w15:restartNumberingAfterBreak="0">
    <w:nsid w:val="408335F4"/>
    <w:multiLevelType w:val="multilevel"/>
    <w:tmpl w:val="5AEEDE88"/>
    <w:numStyleLink w:val="StyleBulleted"/>
  </w:abstractNum>
  <w:abstractNum w:abstractNumId="26"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7"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D750EE7"/>
    <w:multiLevelType w:val="multilevel"/>
    <w:tmpl w:val="5AEEDE88"/>
    <w:numStyleLink w:val="StyleBulleted"/>
  </w:abstractNum>
  <w:abstractNum w:abstractNumId="30"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1"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2" w15:restartNumberingAfterBreak="0">
    <w:nsid w:val="63A20AAC"/>
    <w:multiLevelType w:val="multilevel"/>
    <w:tmpl w:val="5AEEDE88"/>
    <w:numStyleLink w:val="StyleBulleted"/>
  </w:abstractNum>
  <w:abstractNum w:abstractNumId="33"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4"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5" w15:restartNumberingAfterBreak="0">
    <w:nsid w:val="6D193965"/>
    <w:multiLevelType w:val="multilevel"/>
    <w:tmpl w:val="5AEEDE88"/>
    <w:numStyleLink w:val="StyleBulleted"/>
  </w:abstractNum>
  <w:abstractNum w:abstractNumId="36" w15:restartNumberingAfterBreak="0">
    <w:nsid w:val="6F1B2CBC"/>
    <w:multiLevelType w:val="multilevel"/>
    <w:tmpl w:val="5AEEDE88"/>
    <w:numStyleLink w:val="StyleBulleted"/>
  </w:abstractNum>
  <w:abstractNum w:abstractNumId="37" w15:restartNumberingAfterBreak="0">
    <w:nsid w:val="70594B34"/>
    <w:multiLevelType w:val="hybridMultilevel"/>
    <w:tmpl w:val="AE2E88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9" w15:restartNumberingAfterBreak="0">
    <w:nsid w:val="7451234E"/>
    <w:multiLevelType w:val="hybridMultilevel"/>
    <w:tmpl w:val="8E4EBB36"/>
    <w:lvl w:ilvl="0" w:tplc="15A6011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7555624"/>
    <w:multiLevelType w:val="multilevel"/>
    <w:tmpl w:val="02B64FE0"/>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lang w:val="nl-NL"/>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1"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0"/>
  </w:num>
  <w:num w:numId="2">
    <w:abstractNumId w:val="33"/>
  </w:num>
  <w:num w:numId="3">
    <w:abstractNumId w:val="24"/>
  </w:num>
  <w:num w:numId="4">
    <w:abstractNumId w:val="0"/>
  </w:num>
  <w:num w:numId="5">
    <w:abstractNumId w:val="34"/>
  </w:num>
  <w:num w:numId="6">
    <w:abstractNumId w:val="2"/>
  </w:num>
  <w:num w:numId="7">
    <w:abstractNumId w:val="13"/>
  </w:num>
  <w:num w:numId="8">
    <w:abstractNumId w:val="36"/>
  </w:num>
  <w:num w:numId="9">
    <w:abstractNumId w:val="32"/>
  </w:num>
  <w:num w:numId="10">
    <w:abstractNumId w:val="15"/>
  </w:num>
  <w:num w:numId="11">
    <w:abstractNumId w:val="8"/>
  </w:num>
  <w:num w:numId="12">
    <w:abstractNumId w:val="35"/>
  </w:num>
  <w:num w:numId="13">
    <w:abstractNumId w:val="21"/>
  </w:num>
  <w:num w:numId="14">
    <w:abstractNumId w:val="1"/>
  </w:num>
  <w:num w:numId="15">
    <w:abstractNumId w:val="10"/>
  </w:num>
  <w:num w:numId="16">
    <w:abstractNumId w:val="31"/>
  </w:num>
  <w:num w:numId="17">
    <w:abstractNumId w:val="25"/>
  </w:num>
  <w:num w:numId="18">
    <w:abstractNumId w:val="29"/>
  </w:num>
  <w:num w:numId="19">
    <w:abstractNumId w:val="20"/>
  </w:num>
  <w:num w:numId="20">
    <w:abstractNumId w:val="40"/>
  </w:num>
  <w:num w:numId="21">
    <w:abstractNumId w:val="6"/>
  </w:num>
  <w:num w:numId="22">
    <w:abstractNumId w:val="26"/>
  </w:num>
  <w:num w:numId="23">
    <w:abstractNumId w:val="41"/>
  </w:num>
  <w:num w:numId="24">
    <w:abstractNumId w:val="17"/>
  </w:num>
  <w:num w:numId="25">
    <w:abstractNumId w:val="17"/>
  </w:num>
  <w:num w:numId="26">
    <w:abstractNumId w:val="12"/>
  </w:num>
  <w:num w:numId="27">
    <w:abstractNumId w:val="11"/>
  </w:num>
  <w:num w:numId="28">
    <w:abstractNumId w:val="9"/>
  </w:num>
  <w:num w:numId="29">
    <w:abstractNumId w:val="7"/>
  </w:num>
  <w:num w:numId="30">
    <w:abstractNumId w:val="4"/>
  </w:num>
  <w:num w:numId="31">
    <w:abstractNumId w:val="23"/>
  </w:num>
  <w:num w:numId="32">
    <w:abstractNumId w:val="22"/>
  </w:num>
  <w:num w:numId="33">
    <w:abstractNumId w:val="18"/>
  </w:num>
  <w:num w:numId="34">
    <w:abstractNumId w:val="42"/>
  </w:num>
  <w:num w:numId="35">
    <w:abstractNumId w:val="5"/>
  </w:num>
  <w:num w:numId="36">
    <w:abstractNumId w:val="28"/>
  </w:num>
  <w:num w:numId="37">
    <w:abstractNumId w:val="38"/>
  </w:num>
  <w:num w:numId="38">
    <w:abstractNumId w:val="14"/>
  </w:num>
  <w:num w:numId="39">
    <w:abstractNumId w:val="27"/>
  </w:num>
  <w:num w:numId="40">
    <w:abstractNumId w:val="39"/>
  </w:num>
  <w:num w:numId="41">
    <w:abstractNumId w:val="19"/>
  </w:num>
  <w:num w:numId="42">
    <w:abstractNumId w:val="3"/>
  </w:num>
  <w:num w:numId="43">
    <w:abstractNumId w:val="37"/>
  </w:num>
  <w:num w:numId="44">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41985" fill="f" fillcolor="white" stroke="f">
      <v:fill color="white" on="f"/>
      <v:stroke on="f"/>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367D"/>
    <w:rsid w:val="0000392E"/>
    <w:rsid w:val="00003A32"/>
    <w:rsid w:val="0000568C"/>
    <w:rsid w:val="00005884"/>
    <w:rsid w:val="00005D4C"/>
    <w:rsid w:val="00006E47"/>
    <w:rsid w:val="00007F3E"/>
    <w:rsid w:val="0001047A"/>
    <w:rsid w:val="0001095C"/>
    <w:rsid w:val="00010AA8"/>
    <w:rsid w:val="00010F1C"/>
    <w:rsid w:val="000114F8"/>
    <w:rsid w:val="00011539"/>
    <w:rsid w:val="00012550"/>
    <w:rsid w:val="00013196"/>
    <w:rsid w:val="00013F6D"/>
    <w:rsid w:val="00016C57"/>
    <w:rsid w:val="00020189"/>
    <w:rsid w:val="00020EE4"/>
    <w:rsid w:val="000227EB"/>
    <w:rsid w:val="000234D6"/>
    <w:rsid w:val="00024B92"/>
    <w:rsid w:val="0002628D"/>
    <w:rsid w:val="00026447"/>
    <w:rsid w:val="0002695C"/>
    <w:rsid w:val="000304C1"/>
    <w:rsid w:val="00031268"/>
    <w:rsid w:val="00032C0E"/>
    <w:rsid w:val="00033419"/>
    <w:rsid w:val="00033426"/>
    <w:rsid w:val="00033950"/>
    <w:rsid w:val="00033C91"/>
    <w:rsid w:val="00033E8D"/>
    <w:rsid w:val="00034A84"/>
    <w:rsid w:val="00035E67"/>
    <w:rsid w:val="0004192F"/>
    <w:rsid w:val="00041B43"/>
    <w:rsid w:val="000422E7"/>
    <w:rsid w:val="00044809"/>
    <w:rsid w:val="00045A4F"/>
    <w:rsid w:val="00046866"/>
    <w:rsid w:val="00047170"/>
    <w:rsid w:val="00047318"/>
    <w:rsid w:val="0005018E"/>
    <w:rsid w:val="0005061F"/>
    <w:rsid w:val="00050ABD"/>
    <w:rsid w:val="00050B6A"/>
    <w:rsid w:val="00050E7F"/>
    <w:rsid w:val="00051416"/>
    <w:rsid w:val="000530E3"/>
    <w:rsid w:val="000559DE"/>
    <w:rsid w:val="00057067"/>
    <w:rsid w:val="00057B03"/>
    <w:rsid w:val="0006027D"/>
    <w:rsid w:val="0006038F"/>
    <w:rsid w:val="000605A3"/>
    <w:rsid w:val="0006157C"/>
    <w:rsid w:val="00061D07"/>
    <w:rsid w:val="00066622"/>
    <w:rsid w:val="00066F2B"/>
    <w:rsid w:val="00066F3F"/>
    <w:rsid w:val="0006700B"/>
    <w:rsid w:val="000705D1"/>
    <w:rsid w:val="00071F28"/>
    <w:rsid w:val="00072371"/>
    <w:rsid w:val="00074846"/>
    <w:rsid w:val="00076FCC"/>
    <w:rsid w:val="00077900"/>
    <w:rsid w:val="00080AE8"/>
    <w:rsid w:val="00081825"/>
    <w:rsid w:val="00081DD4"/>
    <w:rsid w:val="0008255C"/>
    <w:rsid w:val="0008285E"/>
    <w:rsid w:val="00082BB1"/>
    <w:rsid w:val="000842B5"/>
    <w:rsid w:val="000842F4"/>
    <w:rsid w:val="000844C7"/>
    <w:rsid w:val="00085CB6"/>
    <w:rsid w:val="00085F22"/>
    <w:rsid w:val="0008640E"/>
    <w:rsid w:val="0008784B"/>
    <w:rsid w:val="00087FA0"/>
    <w:rsid w:val="000903DE"/>
    <w:rsid w:val="00090808"/>
    <w:rsid w:val="0009114D"/>
    <w:rsid w:val="000912C6"/>
    <w:rsid w:val="000924C1"/>
    <w:rsid w:val="00093522"/>
    <w:rsid w:val="00094518"/>
    <w:rsid w:val="00094A14"/>
    <w:rsid w:val="00094B45"/>
    <w:rsid w:val="00096680"/>
    <w:rsid w:val="00097B3F"/>
    <w:rsid w:val="000A01F6"/>
    <w:rsid w:val="000A0BB1"/>
    <w:rsid w:val="000A13EE"/>
    <w:rsid w:val="000A22CF"/>
    <w:rsid w:val="000A27FF"/>
    <w:rsid w:val="000A2DF7"/>
    <w:rsid w:val="000A381C"/>
    <w:rsid w:val="000A3AF6"/>
    <w:rsid w:val="000A3EFC"/>
    <w:rsid w:val="000B05EC"/>
    <w:rsid w:val="000B2A0F"/>
    <w:rsid w:val="000B4695"/>
    <w:rsid w:val="000B477F"/>
    <w:rsid w:val="000B64F8"/>
    <w:rsid w:val="000B690D"/>
    <w:rsid w:val="000B7281"/>
    <w:rsid w:val="000B73BA"/>
    <w:rsid w:val="000C05BF"/>
    <w:rsid w:val="000C0757"/>
    <w:rsid w:val="000C07A1"/>
    <w:rsid w:val="000C082E"/>
    <w:rsid w:val="000C0FB6"/>
    <w:rsid w:val="000C3890"/>
    <w:rsid w:val="000C3F40"/>
    <w:rsid w:val="000C43A2"/>
    <w:rsid w:val="000C4679"/>
    <w:rsid w:val="000C521E"/>
    <w:rsid w:val="000C575D"/>
    <w:rsid w:val="000C5810"/>
    <w:rsid w:val="000C5E4F"/>
    <w:rsid w:val="000C61A7"/>
    <w:rsid w:val="000C69F0"/>
    <w:rsid w:val="000C6EED"/>
    <w:rsid w:val="000D1E15"/>
    <w:rsid w:val="000D2B1B"/>
    <w:rsid w:val="000D2C16"/>
    <w:rsid w:val="000D3986"/>
    <w:rsid w:val="000D4122"/>
    <w:rsid w:val="000D7BB7"/>
    <w:rsid w:val="000E15AA"/>
    <w:rsid w:val="000E21AD"/>
    <w:rsid w:val="000E2D5E"/>
    <w:rsid w:val="000E4030"/>
    <w:rsid w:val="000E4DC0"/>
    <w:rsid w:val="000E5E50"/>
    <w:rsid w:val="000F03D7"/>
    <w:rsid w:val="000F1533"/>
    <w:rsid w:val="000F1A72"/>
    <w:rsid w:val="000F2632"/>
    <w:rsid w:val="000F2EB8"/>
    <w:rsid w:val="000F46A7"/>
    <w:rsid w:val="000F4B53"/>
    <w:rsid w:val="000F4D41"/>
    <w:rsid w:val="000F53BE"/>
    <w:rsid w:val="000F6168"/>
    <w:rsid w:val="000F7D4D"/>
    <w:rsid w:val="000F7FE7"/>
    <w:rsid w:val="00101F98"/>
    <w:rsid w:val="00102DFB"/>
    <w:rsid w:val="001031E7"/>
    <w:rsid w:val="00104517"/>
    <w:rsid w:val="00105FA9"/>
    <w:rsid w:val="001069BA"/>
    <w:rsid w:val="00107507"/>
    <w:rsid w:val="00107EB4"/>
    <w:rsid w:val="001137F7"/>
    <w:rsid w:val="00114104"/>
    <w:rsid w:val="00116E2A"/>
    <w:rsid w:val="00117409"/>
    <w:rsid w:val="001210BF"/>
    <w:rsid w:val="00121AD6"/>
    <w:rsid w:val="00122097"/>
    <w:rsid w:val="00122BDB"/>
    <w:rsid w:val="00123082"/>
    <w:rsid w:val="00123704"/>
    <w:rsid w:val="001244CF"/>
    <w:rsid w:val="00124B64"/>
    <w:rsid w:val="00124DFC"/>
    <w:rsid w:val="00125028"/>
    <w:rsid w:val="00125154"/>
    <w:rsid w:val="00125A07"/>
    <w:rsid w:val="00126A69"/>
    <w:rsid w:val="001270C7"/>
    <w:rsid w:val="00130211"/>
    <w:rsid w:val="00130872"/>
    <w:rsid w:val="00130DA2"/>
    <w:rsid w:val="00131D1F"/>
    <w:rsid w:val="00134749"/>
    <w:rsid w:val="00134D07"/>
    <w:rsid w:val="00135C13"/>
    <w:rsid w:val="00136130"/>
    <w:rsid w:val="0013658F"/>
    <w:rsid w:val="00136D94"/>
    <w:rsid w:val="0014161D"/>
    <w:rsid w:val="00142259"/>
    <w:rsid w:val="00142628"/>
    <w:rsid w:val="00142859"/>
    <w:rsid w:val="001429A1"/>
    <w:rsid w:val="00142BCD"/>
    <w:rsid w:val="00144379"/>
    <w:rsid w:val="0014786A"/>
    <w:rsid w:val="00150837"/>
    <w:rsid w:val="0015109B"/>
    <w:rsid w:val="001516A4"/>
    <w:rsid w:val="00153EEF"/>
    <w:rsid w:val="00154AD8"/>
    <w:rsid w:val="00156968"/>
    <w:rsid w:val="001629CB"/>
    <w:rsid w:val="00163F42"/>
    <w:rsid w:val="00163F5B"/>
    <w:rsid w:val="00163FA2"/>
    <w:rsid w:val="00163FF4"/>
    <w:rsid w:val="00164384"/>
    <w:rsid w:val="00164A44"/>
    <w:rsid w:val="00164D75"/>
    <w:rsid w:val="001653EA"/>
    <w:rsid w:val="001655C7"/>
    <w:rsid w:val="00165BCE"/>
    <w:rsid w:val="00166044"/>
    <w:rsid w:val="00166242"/>
    <w:rsid w:val="00167607"/>
    <w:rsid w:val="00167F79"/>
    <w:rsid w:val="00171AFC"/>
    <w:rsid w:val="001739A0"/>
    <w:rsid w:val="00173FB2"/>
    <w:rsid w:val="001753DD"/>
    <w:rsid w:val="001762AD"/>
    <w:rsid w:val="001771AA"/>
    <w:rsid w:val="00177FCB"/>
    <w:rsid w:val="001802CA"/>
    <w:rsid w:val="00180CBA"/>
    <w:rsid w:val="00181629"/>
    <w:rsid w:val="00181A35"/>
    <w:rsid w:val="00182C7C"/>
    <w:rsid w:val="001833E8"/>
    <w:rsid w:val="0018349C"/>
    <w:rsid w:val="00183CBA"/>
    <w:rsid w:val="00183F6B"/>
    <w:rsid w:val="00183FB1"/>
    <w:rsid w:val="00185576"/>
    <w:rsid w:val="00185951"/>
    <w:rsid w:val="00191587"/>
    <w:rsid w:val="00192687"/>
    <w:rsid w:val="0019336F"/>
    <w:rsid w:val="00193994"/>
    <w:rsid w:val="00193C6C"/>
    <w:rsid w:val="00194809"/>
    <w:rsid w:val="001952F9"/>
    <w:rsid w:val="00195B13"/>
    <w:rsid w:val="001967BE"/>
    <w:rsid w:val="001976C9"/>
    <w:rsid w:val="00197D5B"/>
    <w:rsid w:val="001A19FA"/>
    <w:rsid w:val="001A2505"/>
    <w:rsid w:val="001A2D57"/>
    <w:rsid w:val="001A4CE3"/>
    <w:rsid w:val="001A5422"/>
    <w:rsid w:val="001B0189"/>
    <w:rsid w:val="001B01D9"/>
    <w:rsid w:val="001B1B4E"/>
    <w:rsid w:val="001B2C4B"/>
    <w:rsid w:val="001B3D87"/>
    <w:rsid w:val="001B51F7"/>
    <w:rsid w:val="001B5DC5"/>
    <w:rsid w:val="001B5F53"/>
    <w:rsid w:val="001B793F"/>
    <w:rsid w:val="001B7D7E"/>
    <w:rsid w:val="001C0CF4"/>
    <w:rsid w:val="001C0ED4"/>
    <w:rsid w:val="001C1AF8"/>
    <w:rsid w:val="001C24EC"/>
    <w:rsid w:val="001C2512"/>
    <w:rsid w:val="001C3DBE"/>
    <w:rsid w:val="001C3DE6"/>
    <w:rsid w:val="001C47F8"/>
    <w:rsid w:val="001C4938"/>
    <w:rsid w:val="001C49CC"/>
    <w:rsid w:val="001C5F8B"/>
    <w:rsid w:val="001C5FFA"/>
    <w:rsid w:val="001C6550"/>
    <w:rsid w:val="001C793E"/>
    <w:rsid w:val="001D0371"/>
    <w:rsid w:val="001D0FB6"/>
    <w:rsid w:val="001D11DE"/>
    <w:rsid w:val="001D12C2"/>
    <w:rsid w:val="001D288C"/>
    <w:rsid w:val="001D2BE3"/>
    <w:rsid w:val="001D437B"/>
    <w:rsid w:val="001D5178"/>
    <w:rsid w:val="001D7F60"/>
    <w:rsid w:val="001E1E35"/>
    <w:rsid w:val="001E2B9C"/>
    <w:rsid w:val="001E34C6"/>
    <w:rsid w:val="001E40BD"/>
    <w:rsid w:val="001E5581"/>
    <w:rsid w:val="001E73BA"/>
    <w:rsid w:val="001E7D84"/>
    <w:rsid w:val="001F0250"/>
    <w:rsid w:val="001F0D75"/>
    <w:rsid w:val="001F204D"/>
    <w:rsid w:val="001F2538"/>
    <w:rsid w:val="001F3AD3"/>
    <w:rsid w:val="001F3B97"/>
    <w:rsid w:val="001F3EAF"/>
    <w:rsid w:val="001F4C5A"/>
    <w:rsid w:val="001F4D72"/>
    <w:rsid w:val="001F562C"/>
    <w:rsid w:val="001F583B"/>
    <w:rsid w:val="001F6340"/>
    <w:rsid w:val="002006EB"/>
    <w:rsid w:val="00200D73"/>
    <w:rsid w:val="00200F18"/>
    <w:rsid w:val="00203549"/>
    <w:rsid w:val="0020524E"/>
    <w:rsid w:val="002068BD"/>
    <w:rsid w:val="00210629"/>
    <w:rsid w:val="0021097B"/>
    <w:rsid w:val="00211122"/>
    <w:rsid w:val="002121BE"/>
    <w:rsid w:val="002131B4"/>
    <w:rsid w:val="002131DF"/>
    <w:rsid w:val="0021384A"/>
    <w:rsid w:val="00215809"/>
    <w:rsid w:val="00215884"/>
    <w:rsid w:val="00215F88"/>
    <w:rsid w:val="00216302"/>
    <w:rsid w:val="002165AB"/>
    <w:rsid w:val="00216ADD"/>
    <w:rsid w:val="002206D9"/>
    <w:rsid w:val="002212B1"/>
    <w:rsid w:val="00221806"/>
    <w:rsid w:val="002222A2"/>
    <w:rsid w:val="00222637"/>
    <w:rsid w:val="0022295F"/>
    <w:rsid w:val="00223E42"/>
    <w:rsid w:val="00224C29"/>
    <w:rsid w:val="002267FE"/>
    <w:rsid w:val="00226D8D"/>
    <w:rsid w:val="00234069"/>
    <w:rsid w:val="00234DF4"/>
    <w:rsid w:val="00234F48"/>
    <w:rsid w:val="002372CC"/>
    <w:rsid w:val="00237401"/>
    <w:rsid w:val="00237F45"/>
    <w:rsid w:val="0024163C"/>
    <w:rsid w:val="00242356"/>
    <w:rsid w:val="002428E3"/>
    <w:rsid w:val="00246DF8"/>
    <w:rsid w:val="00247458"/>
    <w:rsid w:val="002502FA"/>
    <w:rsid w:val="0025034D"/>
    <w:rsid w:val="00254103"/>
    <w:rsid w:val="002568BC"/>
    <w:rsid w:val="00256E73"/>
    <w:rsid w:val="002572AC"/>
    <w:rsid w:val="002579E2"/>
    <w:rsid w:val="00260BAF"/>
    <w:rsid w:val="00261980"/>
    <w:rsid w:val="00261F77"/>
    <w:rsid w:val="0026218E"/>
    <w:rsid w:val="002633CA"/>
    <w:rsid w:val="00263ACB"/>
    <w:rsid w:val="002644F5"/>
    <w:rsid w:val="002645D3"/>
    <w:rsid w:val="00264CB9"/>
    <w:rsid w:val="00264F3A"/>
    <w:rsid w:val="002650F7"/>
    <w:rsid w:val="00266018"/>
    <w:rsid w:val="00267AC4"/>
    <w:rsid w:val="00267BA5"/>
    <w:rsid w:val="0027051F"/>
    <w:rsid w:val="002731C3"/>
    <w:rsid w:val="002733CD"/>
    <w:rsid w:val="0027471C"/>
    <w:rsid w:val="002803F3"/>
    <w:rsid w:val="0028070F"/>
    <w:rsid w:val="00280CF7"/>
    <w:rsid w:val="00280F74"/>
    <w:rsid w:val="00281846"/>
    <w:rsid w:val="00281C7A"/>
    <w:rsid w:val="00283363"/>
    <w:rsid w:val="00283C64"/>
    <w:rsid w:val="00286998"/>
    <w:rsid w:val="002874CC"/>
    <w:rsid w:val="00290320"/>
    <w:rsid w:val="00290657"/>
    <w:rsid w:val="002912E8"/>
    <w:rsid w:val="002957DE"/>
    <w:rsid w:val="00296115"/>
    <w:rsid w:val="00297320"/>
    <w:rsid w:val="002978CF"/>
    <w:rsid w:val="002A149F"/>
    <w:rsid w:val="002A1CB5"/>
    <w:rsid w:val="002A310E"/>
    <w:rsid w:val="002A3153"/>
    <w:rsid w:val="002A5261"/>
    <w:rsid w:val="002A6BF7"/>
    <w:rsid w:val="002B0F2F"/>
    <w:rsid w:val="002B153C"/>
    <w:rsid w:val="002B1CB1"/>
    <w:rsid w:val="002B3DA3"/>
    <w:rsid w:val="002B5637"/>
    <w:rsid w:val="002B7582"/>
    <w:rsid w:val="002B76D0"/>
    <w:rsid w:val="002C2320"/>
    <w:rsid w:val="002C3659"/>
    <w:rsid w:val="002C45B0"/>
    <w:rsid w:val="002C4E54"/>
    <w:rsid w:val="002C5FCD"/>
    <w:rsid w:val="002C6064"/>
    <w:rsid w:val="002C6A05"/>
    <w:rsid w:val="002C7285"/>
    <w:rsid w:val="002C7362"/>
    <w:rsid w:val="002C75D9"/>
    <w:rsid w:val="002C77AF"/>
    <w:rsid w:val="002D15A4"/>
    <w:rsid w:val="002D1801"/>
    <w:rsid w:val="002D18C0"/>
    <w:rsid w:val="002D1F13"/>
    <w:rsid w:val="002D20B0"/>
    <w:rsid w:val="002D3129"/>
    <w:rsid w:val="002D317B"/>
    <w:rsid w:val="002D43C7"/>
    <w:rsid w:val="002D4BDB"/>
    <w:rsid w:val="002D6BF5"/>
    <w:rsid w:val="002D70F3"/>
    <w:rsid w:val="002E05CA"/>
    <w:rsid w:val="002E0F69"/>
    <w:rsid w:val="002E14DF"/>
    <w:rsid w:val="002E14E1"/>
    <w:rsid w:val="002E184D"/>
    <w:rsid w:val="002E1A44"/>
    <w:rsid w:val="002E1FAD"/>
    <w:rsid w:val="002E3004"/>
    <w:rsid w:val="002E336B"/>
    <w:rsid w:val="002E3F64"/>
    <w:rsid w:val="002E44D1"/>
    <w:rsid w:val="002E572E"/>
    <w:rsid w:val="002E7941"/>
    <w:rsid w:val="002E7FEC"/>
    <w:rsid w:val="002F1B1C"/>
    <w:rsid w:val="002F1D5F"/>
    <w:rsid w:val="002F217C"/>
    <w:rsid w:val="002F314E"/>
    <w:rsid w:val="002F35DC"/>
    <w:rsid w:val="002F436A"/>
    <w:rsid w:val="002F56DD"/>
    <w:rsid w:val="002F5E6C"/>
    <w:rsid w:val="002F6CE5"/>
    <w:rsid w:val="002F7070"/>
    <w:rsid w:val="0030018C"/>
    <w:rsid w:val="00300D9E"/>
    <w:rsid w:val="0030201A"/>
    <w:rsid w:val="00302C0A"/>
    <w:rsid w:val="00303724"/>
    <w:rsid w:val="003051CC"/>
    <w:rsid w:val="00305705"/>
    <w:rsid w:val="0030578A"/>
    <w:rsid w:val="00306B7E"/>
    <w:rsid w:val="003076A8"/>
    <w:rsid w:val="00307981"/>
    <w:rsid w:val="00307CF0"/>
    <w:rsid w:val="00311D97"/>
    <w:rsid w:val="00312597"/>
    <w:rsid w:val="003139A4"/>
    <w:rsid w:val="003141DF"/>
    <w:rsid w:val="00315791"/>
    <w:rsid w:val="0031751C"/>
    <w:rsid w:val="00321AA3"/>
    <w:rsid w:val="00322252"/>
    <w:rsid w:val="003258BE"/>
    <w:rsid w:val="00326415"/>
    <w:rsid w:val="00326699"/>
    <w:rsid w:val="0033173E"/>
    <w:rsid w:val="00331B8E"/>
    <w:rsid w:val="0033207E"/>
    <w:rsid w:val="00333036"/>
    <w:rsid w:val="003331DA"/>
    <w:rsid w:val="00333A9E"/>
    <w:rsid w:val="00334334"/>
    <w:rsid w:val="003351DA"/>
    <w:rsid w:val="00335F89"/>
    <w:rsid w:val="003412ED"/>
    <w:rsid w:val="00341585"/>
    <w:rsid w:val="003425E3"/>
    <w:rsid w:val="00342938"/>
    <w:rsid w:val="0034378E"/>
    <w:rsid w:val="00343F24"/>
    <w:rsid w:val="003477DF"/>
    <w:rsid w:val="00350DC8"/>
    <w:rsid w:val="003520E4"/>
    <w:rsid w:val="00353D56"/>
    <w:rsid w:val="003551AA"/>
    <w:rsid w:val="003554B8"/>
    <w:rsid w:val="00355575"/>
    <w:rsid w:val="003555BF"/>
    <w:rsid w:val="00361DAC"/>
    <w:rsid w:val="0036223B"/>
    <w:rsid w:val="0036252A"/>
    <w:rsid w:val="0036284F"/>
    <w:rsid w:val="003646BF"/>
    <w:rsid w:val="00364D9D"/>
    <w:rsid w:val="00365249"/>
    <w:rsid w:val="003668AB"/>
    <w:rsid w:val="003712BC"/>
    <w:rsid w:val="00371603"/>
    <w:rsid w:val="003735B9"/>
    <w:rsid w:val="003737A8"/>
    <w:rsid w:val="0037461E"/>
    <w:rsid w:val="00374748"/>
    <w:rsid w:val="00375231"/>
    <w:rsid w:val="00381F92"/>
    <w:rsid w:val="00382AE3"/>
    <w:rsid w:val="00383906"/>
    <w:rsid w:val="00383DA1"/>
    <w:rsid w:val="003868C6"/>
    <w:rsid w:val="003872F2"/>
    <w:rsid w:val="00387E90"/>
    <w:rsid w:val="003912B4"/>
    <w:rsid w:val="003914F0"/>
    <w:rsid w:val="0039160C"/>
    <w:rsid w:val="00392007"/>
    <w:rsid w:val="003961AA"/>
    <w:rsid w:val="0039660F"/>
    <w:rsid w:val="0039741E"/>
    <w:rsid w:val="0039744C"/>
    <w:rsid w:val="00397C46"/>
    <w:rsid w:val="003A06C8"/>
    <w:rsid w:val="003A0D7C"/>
    <w:rsid w:val="003A12C1"/>
    <w:rsid w:val="003A1E73"/>
    <w:rsid w:val="003A32D7"/>
    <w:rsid w:val="003A3B94"/>
    <w:rsid w:val="003A469B"/>
    <w:rsid w:val="003A61BE"/>
    <w:rsid w:val="003A6379"/>
    <w:rsid w:val="003A65E8"/>
    <w:rsid w:val="003A667A"/>
    <w:rsid w:val="003A74F5"/>
    <w:rsid w:val="003A7AFA"/>
    <w:rsid w:val="003A7CA6"/>
    <w:rsid w:val="003B40BE"/>
    <w:rsid w:val="003B4CB4"/>
    <w:rsid w:val="003B518B"/>
    <w:rsid w:val="003B58E3"/>
    <w:rsid w:val="003B7612"/>
    <w:rsid w:val="003B7EE7"/>
    <w:rsid w:val="003C0620"/>
    <w:rsid w:val="003C18C0"/>
    <w:rsid w:val="003C6ADC"/>
    <w:rsid w:val="003C7467"/>
    <w:rsid w:val="003D008C"/>
    <w:rsid w:val="003D079C"/>
    <w:rsid w:val="003D0C47"/>
    <w:rsid w:val="003D1046"/>
    <w:rsid w:val="003D1F17"/>
    <w:rsid w:val="003D244F"/>
    <w:rsid w:val="003D39EC"/>
    <w:rsid w:val="003D3E27"/>
    <w:rsid w:val="003D53B3"/>
    <w:rsid w:val="003D5452"/>
    <w:rsid w:val="003D606F"/>
    <w:rsid w:val="003D65FF"/>
    <w:rsid w:val="003D6943"/>
    <w:rsid w:val="003D78F6"/>
    <w:rsid w:val="003E0204"/>
    <w:rsid w:val="003E0D8B"/>
    <w:rsid w:val="003E0DD1"/>
    <w:rsid w:val="003E16C3"/>
    <w:rsid w:val="003E1757"/>
    <w:rsid w:val="003E3DD5"/>
    <w:rsid w:val="003E452B"/>
    <w:rsid w:val="003E537A"/>
    <w:rsid w:val="003E55D6"/>
    <w:rsid w:val="003E6FCE"/>
    <w:rsid w:val="003E713E"/>
    <w:rsid w:val="003E7BF8"/>
    <w:rsid w:val="003E7ECF"/>
    <w:rsid w:val="003F0833"/>
    <w:rsid w:val="003F0B8C"/>
    <w:rsid w:val="003F1ECD"/>
    <w:rsid w:val="003F26FC"/>
    <w:rsid w:val="003F350F"/>
    <w:rsid w:val="003F44B7"/>
    <w:rsid w:val="003F46FA"/>
    <w:rsid w:val="003F59B5"/>
    <w:rsid w:val="003F5D94"/>
    <w:rsid w:val="003F75A0"/>
    <w:rsid w:val="00400393"/>
    <w:rsid w:val="00400F1C"/>
    <w:rsid w:val="0040306E"/>
    <w:rsid w:val="004030D8"/>
    <w:rsid w:val="00404B4E"/>
    <w:rsid w:val="00404E60"/>
    <w:rsid w:val="00405BB4"/>
    <w:rsid w:val="004066F3"/>
    <w:rsid w:val="00406AF7"/>
    <w:rsid w:val="004073C0"/>
    <w:rsid w:val="004075F2"/>
    <w:rsid w:val="00410B4E"/>
    <w:rsid w:val="00410DE8"/>
    <w:rsid w:val="00411100"/>
    <w:rsid w:val="004111DA"/>
    <w:rsid w:val="00413D48"/>
    <w:rsid w:val="00414ACD"/>
    <w:rsid w:val="004213B0"/>
    <w:rsid w:val="00422948"/>
    <w:rsid w:val="00422FEE"/>
    <w:rsid w:val="00424AB9"/>
    <w:rsid w:val="00430CBE"/>
    <w:rsid w:val="004374FA"/>
    <w:rsid w:val="0044162F"/>
    <w:rsid w:val="00441789"/>
    <w:rsid w:val="00441AC2"/>
    <w:rsid w:val="004425A0"/>
    <w:rsid w:val="00444592"/>
    <w:rsid w:val="00444E25"/>
    <w:rsid w:val="00445FEE"/>
    <w:rsid w:val="0044678E"/>
    <w:rsid w:val="004469C1"/>
    <w:rsid w:val="00447E60"/>
    <w:rsid w:val="0045061E"/>
    <w:rsid w:val="004510AC"/>
    <w:rsid w:val="004520E4"/>
    <w:rsid w:val="004525A2"/>
    <w:rsid w:val="004528F1"/>
    <w:rsid w:val="00452BCD"/>
    <w:rsid w:val="00453A1E"/>
    <w:rsid w:val="00454EC1"/>
    <w:rsid w:val="0045548F"/>
    <w:rsid w:val="00456A79"/>
    <w:rsid w:val="00456B63"/>
    <w:rsid w:val="00456C9B"/>
    <w:rsid w:val="0046002C"/>
    <w:rsid w:val="00460E7F"/>
    <w:rsid w:val="00461C28"/>
    <w:rsid w:val="0046218D"/>
    <w:rsid w:val="00463FDE"/>
    <w:rsid w:val="0046457D"/>
    <w:rsid w:val="004655AB"/>
    <w:rsid w:val="004659CD"/>
    <w:rsid w:val="00466503"/>
    <w:rsid w:val="00467D2E"/>
    <w:rsid w:val="00467FB1"/>
    <w:rsid w:val="00470830"/>
    <w:rsid w:val="004726E9"/>
    <w:rsid w:val="00473B74"/>
    <w:rsid w:val="00476808"/>
    <w:rsid w:val="00476C91"/>
    <w:rsid w:val="00476E90"/>
    <w:rsid w:val="00477D6D"/>
    <w:rsid w:val="00480998"/>
    <w:rsid w:val="0048181B"/>
    <w:rsid w:val="00483F0B"/>
    <w:rsid w:val="00484913"/>
    <w:rsid w:val="00484A7E"/>
    <w:rsid w:val="00485C50"/>
    <w:rsid w:val="00486000"/>
    <w:rsid w:val="004867E2"/>
    <w:rsid w:val="00487527"/>
    <w:rsid w:val="00491FFC"/>
    <w:rsid w:val="00492A5E"/>
    <w:rsid w:val="004938C1"/>
    <w:rsid w:val="00495163"/>
    <w:rsid w:val="004956ED"/>
    <w:rsid w:val="004A24A9"/>
    <w:rsid w:val="004A32B7"/>
    <w:rsid w:val="004A338D"/>
    <w:rsid w:val="004A5672"/>
    <w:rsid w:val="004A5F55"/>
    <w:rsid w:val="004A7BAF"/>
    <w:rsid w:val="004B02EC"/>
    <w:rsid w:val="004B132D"/>
    <w:rsid w:val="004B30C6"/>
    <w:rsid w:val="004B3BB8"/>
    <w:rsid w:val="004B3E25"/>
    <w:rsid w:val="004B5465"/>
    <w:rsid w:val="004B68F5"/>
    <w:rsid w:val="004B7506"/>
    <w:rsid w:val="004C0099"/>
    <w:rsid w:val="004C0C65"/>
    <w:rsid w:val="004C1744"/>
    <w:rsid w:val="004C4242"/>
    <w:rsid w:val="004C4C4A"/>
    <w:rsid w:val="004C6647"/>
    <w:rsid w:val="004C708E"/>
    <w:rsid w:val="004C7FE0"/>
    <w:rsid w:val="004D07B2"/>
    <w:rsid w:val="004D106D"/>
    <w:rsid w:val="004D1777"/>
    <w:rsid w:val="004D1C3B"/>
    <w:rsid w:val="004D2546"/>
    <w:rsid w:val="004D2E94"/>
    <w:rsid w:val="004D332B"/>
    <w:rsid w:val="004D372F"/>
    <w:rsid w:val="004D403F"/>
    <w:rsid w:val="004D4519"/>
    <w:rsid w:val="004D4757"/>
    <w:rsid w:val="004D5643"/>
    <w:rsid w:val="004D5835"/>
    <w:rsid w:val="004D6440"/>
    <w:rsid w:val="004E0158"/>
    <w:rsid w:val="004E022E"/>
    <w:rsid w:val="004E125D"/>
    <w:rsid w:val="004E13BE"/>
    <w:rsid w:val="004E271E"/>
    <w:rsid w:val="004E32F0"/>
    <w:rsid w:val="004E4A79"/>
    <w:rsid w:val="004E4EE9"/>
    <w:rsid w:val="004E55AF"/>
    <w:rsid w:val="004E60C0"/>
    <w:rsid w:val="004E7715"/>
    <w:rsid w:val="004F252B"/>
    <w:rsid w:val="004F2544"/>
    <w:rsid w:val="004F391C"/>
    <w:rsid w:val="004F3C83"/>
    <w:rsid w:val="004F4285"/>
    <w:rsid w:val="004F5098"/>
    <w:rsid w:val="004F680B"/>
    <w:rsid w:val="004F6950"/>
    <w:rsid w:val="00502768"/>
    <w:rsid w:val="00502AF4"/>
    <w:rsid w:val="00504887"/>
    <w:rsid w:val="00504EC6"/>
    <w:rsid w:val="005059B4"/>
    <w:rsid w:val="00505E80"/>
    <w:rsid w:val="00507B8D"/>
    <w:rsid w:val="00510633"/>
    <w:rsid w:val="00512A53"/>
    <w:rsid w:val="00513024"/>
    <w:rsid w:val="00514729"/>
    <w:rsid w:val="00514A54"/>
    <w:rsid w:val="005150FC"/>
    <w:rsid w:val="00515E5B"/>
    <w:rsid w:val="00516022"/>
    <w:rsid w:val="005166D1"/>
    <w:rsid w:val="00521CEE"/>
    <w:rsid w:val="00523256"/>
    <w:rsid w:val="00523F8B"/>
    <w:rsid w:val="00524D65"/>
    <w:rsid w:val="00525150"/>
    <w:rsid w:val="00526E66"/>
    <w:rsid w:val="00526EC4"/>
    <w:rsid w:val="00530233"/>
    <w:rsid w:val="00532172"/>
    <w:rsid w:val="00532596"/>
    <w:rsid w:val="00532A90"/>
    <w:rsid w:val="005346C3"/>
    <w:rsid w:val="00534880"/>
    <w:rsid w:val="005359C6"/>
    <w:rsid w:val="00535CBB"/>
    <w:rsid w:val="0053789D"/>
    <w:rsid w:val="00537DB3"/>
    <w:rsid w:val="005415F2"/>
    <w:rsid w:val="005452CC"/>
    <w:rsid w:val="00545A58"/>
    <w:rsid w:val="005466EF"/>
    <w:rsid w:val="005469CE"/>
    <w:rsid w:val="005477C5"/>
    <w:rsid w:val="00547C01"/>
    <w:rsid w:val="00547CB3"/>
    <w:rsid w:val="005500F5"/>
    <w:rsid w:val="005505A1"/>
    <w:rsid w:val="005506A2"/>
    <w:rsid w:val="005530A7"/>
    <w:rsid w:val="005532E7"/>
    <w:rsid w:val="005534BA"/>
    <w:rsid w:val="005546E2"/>
    <w:rsid w:val="00554727"/>
    <w:rsid w:val="005553AD"/>
    <w:rsid w:val="005557A8"/>
    <w:rsid w:val="005565E0"/>
    <w:rsid w:val="00556CAB"/>
    <w:rsid w:val="00556D2C"/>
    <w:rsid w:val="0055776D"/>
    <w:rsid w:val="005624A7"/>
    <w:rsid w:val="00562ED1"/>
    <w:rsid w:val="0056454C"/>
    <w:rsid w:val="005652E2"/>
    <w:rsid w:val="00573041"/>
    <w:rsid w:val="0057402A"/>
    <w:rsid w:val="005749A5"/>
    <w:rsid w:val="005761D2"/>
    <w:rsid w:val="00576512"/>
    <w:rsid w:val="0057732A"/>
    <w:rsid w:val="00577ED4"/>
    <w:rsid w:val="00582942"/>
    <w:rsid w:val="00583730"/>
    <w:rsid w:val="00584568"/>
    <w:rsid w:val="00587797"/>
    <w:rsid w:val="00587D5D"/>
    <w:rsid w:val="005903FB"/>
    <w:rsid w:val="0059261D"/>
    <w:rsid w:val="00592F21"/>
    <w:rsid w:val="00593255"/>
    <w:rsid w:val="005936CB"/>
    <w:rsid w:val="00593B69"/>
    <w:rsid w:val="005943F9"/>
    <w:rsid w:val="00594B8C"/>
    <w:rsid w:val="0059530B"/>
    <w:rsid w:val="0059680A"/>
    <w:rsid w:val="005968D8"/>
    <w:rsid w:val="00597477"/>
    <w:rsid w:val="005A03A3"/>
    <w:rsid w:val="005A1D89"/>
    <w:rsid w:val="005A3235"/>
    <w:rsid w:val="005A463A"/>
    <w:rsid w:val="005A6ADB"/>
    <w:rsid w:val="005A6E7D"/>
    <w:rsid w:val="005A79E3"/>
    <w:rsid w:val="005B085D"/>
    <w:rsid w:val="005B0ADD"/>
    <w:rsid w:val="005B36E0"/>
    <w:rsid w:val="005B4F97"/>
    <w:rsid w:val="005B6A16"/>
    <w:rsid w:val="005B77E3"/>
    <w:rsid w:val="005C164B"/>
    <w:rsid w:val="005C1A3A"/>
    <w:rsid w:val="005C22DD"/>
    <w:rsid w:val="005C3B95"/>
    <w:rsid w:val="005C3FE0"/>
    <w:rsid w:val="005C400C"/>
    <w:rsid w:val="005C4A83"/>
    <w:rsid w:val="005C6771"/>
    <w:rsid w:val="005C72E2"/>
    <w:rsid w:val="005C7308"/>
    <w:rsid w:val="005C740C"/>
    <w:rsid w:val="005C79BA"/>
    <w:rsid w:val="005D01B9"/>
    <w:rsid w:val="005D0300"/>
    <w:rsid w:val="005D063A"/>
    <w:rsid w:val="005D1E27"/>
    <w:rsid w:val="005D232B"/>
    <w:rsid w:val="005D3322"/>
    <w:rsid w:val="005D4206"/>
    <w:rsid w:val="005D624C"/>
    <w:rsid w:val="005D6886"/>
    <w:rsid w:val="005D7128"/>
    <w:rsid w:val="005E115F"/>
    <w:rsid w:val="005E17A4"/>
    <w:rsid w:val="005E25D4"/>
    <w:rsid w:val="005E3B7C"/>
    <w:rsid w:val="005E5649"/>
    <w:rsid w:val="005E6236"/>
    <w:rsid w:val="005E67AD"/>
    <w:rsid w:val="005F0E31"/>
    <w:rsid w:val="005F1C7F"/>
    <w:rsid w:val="005F23DB"/>
    <w:rsid w:val="005F2F08"/>
    <w:rsid w:val="005F31A7"/>
    <w:rsid w:val="005F3431"/>
    <w:rsid w:val="005F36E3"/>
    <w:rsid w:val="005F3C85"/>
    <w:rsid w:val="005F3FB6"/>
    <w:rsid w:val="005F431D"/>
    <w:rsid w:val="005F4FE7"/>
    <w:rsid w:val="005F55C9"/>
    <w:rsid w:val="006004BE"/>
    <w:rsid w:val="00600777"/>
    <w:rsid w:val="0060167A"/>
    <w:rsid w:val="00602145"/>
    <w:rsid w:val="00603C0A"/>
    <w:rsid w:val="00604859"/>
    <w:rsid w:val="006048F4"/>
    <w:rsid w:val="00604F46"/>
    <w:rsid w:val="006064E1"/>
    <w:rsid w:val="0060660A"/>
    <w:rsid w:val="00610AAA"/>
    <w:rsid w:val="0061199B"/>
    <w:rsid w:val="00611BDC"/>
    <w:rsid w:val="00611CB0"/>
    <w:rsid w:val="00612294"/>
    <w:rsid w:val="006123B1"/>
    <w:rsid w:val="00613D07"/>
    <w:rsid w:val="006144B7"/>
    <w:rsid w:val="0061509D"/>
    <w:rsid w:val="006154C6"/>
    <w:rsid w:val="00615DAA"/>
    <w:rsid w:val="00617313"/>
    <w:rsid w:val="00617A44"/>
    <w:rsid w:val="00620754"/>
    <w:rsid w:val="00621767"/>
    <w:rsid w:val="00622C20"/>
    <w:rsid w:val="00625CD0"/>
    <w:rsid w:val="00625EB1"/>
    <w:rsid w:val="006271BD"/>
    <w:rsid w:val="00630FA3"/>
    <w:rsid w:val="006316B8"/>
    <w:rsid w:val="00631889"/>
    <w:rsid w:val="00631B9E"/>
    <w:rsid w:val="00632896"/>
    <w:rsid w:val="006329A1"/>
    <w:rsid w:val="00633D2B"/>
    <w:rsid w:val="00634A3C"/>
    <w:rsid w:val="00635B76"/>
    <w:rsid w:val="00635DE3"/>
    <w:rsid w:val="00636AFD"/>
    <w:rsid w:val="006375B8"/>
    <w:rsid w:val="00645791"/>
    <w:rsid w:val="00645EC4"/>
    <w:rsid w:val="006469F6"/>
    <w:rsid w:val="00646E47"/>
    <w:rsid w:val="00651441"/>
    <w:rsid w:val="00651DC0"/>
    <w:rsid w:val="006522A0"/>
    <w:rsid w:val="0065281C"/>
    <w:rsid w:val="00654B10"/>
    <w:rsid w:val="006565D2"/>
    <w:rsid w:val="006569DB"/>
    <w:rsid w:val="00656C96"/>
    <w:rsid w:val="00657247"/>
    <w:rsid w:val="00657A32"/>
    <w:rsid w:val="0066099D"/>
    <w:rsid w:val="006614C4"/>
    <w:rsid w:val="00661591"/>
    <w:rsid w:val="00662125"/>
    <w:rsid w:val="00663E9A"/>
    <w:rsid w:val="0066632F"/>
    <w:rsid w:val="006665E1"/>
    <w:rsid w:val="00667BAB"/>
    <w:rsid w:val="0067057E"/>
    <w:rsid w:val="00670DD3"/>
    <w:rsid w:val="006711DA"/>
    <w:rsid w:val="00671410"/>
    <w:rsid w:val="0067329B"/>
    <w:rsid w:val="00673786"/>
    <w:rsid w:val="00674C14"/>
    <w:rsid w:val="006752CC"/>
    <w:rsid w:val="0068182A"/>
    <w:rsid w:val="00681B2D"/>
    <w:rsid w:val="00687998"/>
    <w:rsid w:val="0069047B"/>
    <w:rsid w:val="00690DCA"/>
    <w:rsid w:val="00691046"/>
    <w:rsid w:val="00692598"/>
    <w:rsid w:val="00692E7B"/>
    <w:rsid w:val="0069317D"/>
    <w:rsid w:val="006946E2"/>
    <w:rsid w:val="00694A84"/>
    <w:rsid w:val="006956A1"/>
    <w:rsid w:val="00696610"/>
    <w:rsid w:val="0069702B"/>
    <w:rsid w:val="006A3362"/>
    <w:rsid w:val="006A4DB5"/>
    <w:rsid w:val="006A52D6"/>
    <w:rsid w:val="006A670C"/>
    <w:rsid w:val="006A6FA2"/>
    <w:rsid w:val="006A72FC"/>
    <w:rsid w:val="006A73B3"/>
    <w:rsid w:val="006A78DD"/>
    <w:rsid w:val="006B021E"/>
    <w:rsid w:val="006B03AF"/>
    <w:rsid w:val="006B0D67"/>
    <w:rsid w:val="006B1E44"/>
    <w:rsid w:val="006B2292"/>
    <w:rsid w:val="006B2847"/>
    <w:rsid w:val="006B329D"/>
    <w:rsid w:val="006B3A5E"/>
    <w:rsid w:val="006C114E"/>
    <w:rsid w:val="006C1AE3"/>
    <w:rsid w:val="006C1EB0"/>
    <w:rsid w:val="006C2535"/>
    <w:rsid w:val="006C3A41"/>
    <w:rsid w:val="006C5413"/>
    <w:rsid w:val="006C6272"/>
    <w:rsid w:val="006C65A1"/>
    <w:rsid w:val="006C6C62"/>
    <w:rsid w:val="006C7CA9"/>
    <w:rsid w:val="006D04FC"/>
    <w:rsid w:val="006D0FB1"/>
    <w:rsid w:val="006D142A"/>
    <w:rsid w:val="006D2679"/>
    <w:rsid w:val="006D3256"/>
    <w:rsid w:val="006D470E"/>
    <w:rsid w:val="006D4B0D"/>
    <w:rsid w:val="006D5DC2"/>
    <w:rsid w:val="006D60B4"/>
    <w:rsid w:val="006D687F"/>
    <w:rsid w:val="006D75E1"/>
    <w:rsid w:val="006D7F64"/>
    <w:rsid w:val="006E04D8"/>
    <w:rsid w:val="006E1A23"/>
    <w:rsid w:val="006E2442"/>
    <w:rsid w:val="006E263E"/>
    <w:rsid w:val="006E3546"/>
    <w:rsid w:val="006E365A"/>
    <w:rsid w:val="006E38C3"/>
    <w:rsid w:val="006E4D97"/>
    <w:rsid w:val="006E6C43"/>
    <w:rsid w:val="006E7216"/>
    <w:rsid w:val="006F0F93"/>
    <w:rsid w:val="006F17B6"/>
    <w:rsid w:val="006F1A49"/>
    <w:rsid w:val="006F1EDB"/>
    <w:rsid w:val="006F310D"/>
    <w:rsid w:val="006F35FA"/>
    <w:rsid w:val="006F58E8"/>
    <w:rsid w:val="006F749B"/>
    <w:rsid w:val="00703202"/>
    <w:rsid w:val="00703AEF"/>
    <w:rsid w:val="00704832"/>
    <w:rsid w:val="00704CCA"/>
    <w:rsid w:val="0070543F"/>
    <w:rsid w:val="00705BC0"/>
    <w:rsid w:val="00705C87"/>
    <w:rsid w:val="00707E10"/>
    <w:rsid w:val="00707EA6"/>
    <w:rsid w:val="007101B1"/>
    <w:rsid w:val="00710978"/>
    <w:rsid w:val="00713044"/>
    <w:rsid w:val="00713F74"/>
    <w:rsid w:val="007146F0"/>
    <w:rsid w:val="00714C30"/>
    <w:rsid w:val="00714E2B"/>
    <w:rsid w:val="00714F43"/>
    <w:rsid w:val="00715237"/>
    <w:rsid w:val="00715F39"/>
    <w:rsid w:val="00716F76"/>
    <w:rsid w:val="0072017B"/>
    <w:rsid w:val="007201AE"/>
    <w:rsid w:val="00720573"/>
    <w:rsid w:val="0072106A"/>
    <w:rsid w:val="0072120E"/>
    <w:rsid w:val="00722293"/>
    <w:rsid w:val="00722F4B"/>
    <w:rsid w:val="007230FA"/>
    <w:rsid w:val="00724101"/>
    <w:rsid w:val="007250F0"/>
    <w:rsid w:val="007254A5"/>
    <w:rsid w:val="00725748"/>
    <w:rsid w:val="007258D4"/>
    <w:rsid w:val="00730D14"/>
    <w:rsid w:val="00733959"/>
    <w:rsid w:val="00734374"/>
    <w:rsid w:val="00734868"/>
    <w:rsid w:val="00735496"/>
    <w:rsid w:val="007355A5"/>
    <w:rsid w:val="0073673D"/>
    <w:rsid w:val="00736D0D"/>
    <w:rsid w:val="007370A1"/>
    <w:rsid w:val="0073720D"/>
    <w:rsid w:val="007402E0"/>
    <w:rsid w:val="007411EF"/>
    <w:rsid w:val="007418AE"/>
    <w:rsid w:val="00742AB9"/>
    <w:rsid w:val="00743337"/>
    <w:rsid w:val="00745016"/>
    <w:rsid w:val="00746658"/>
    <w:rsid w:val="00750A91"/>
    <w:rsid w:val="00751CF9"/>
    <w:rsid w:val="0075240B"/>
    <w:rsid w:val="0075368B"/>
    <w:rsid w:val="00754176"/>
    <w:rsid w:val="00754666"/>
    <w:rsid w:val="00754FBF"/>
    <w:rsid w:val="00755248"/>
    <w:rsid w:val="00756754"/>
    <w:rsid w:val="00757005"/>
    <w:rsid w:val="0076016D"/>
    <w:rsid w:val="007606CE"/>
    <w:rsid w:val="00760C95"/>
    <w:rsid w:val="00761D0B"/>
    <w:rsid w:val="00763BB2"/>
    <w:rsid w:val="0077029E"/>
    <w:rsid w:val="0077048E"/>
    <w:rsid w:val="00770864"/>
    <w:rsid w:val="007724AB"/>
    <w:rsid w:val="00772734"/>
    <w:rsid w:val="00774B22"/>
    <w:rsid w:val="00775344"/>
    <w:rsid w:val="00775D8A"/>
    <w:rsid w:val="00775E64"/>
    <w:rsid w:val="0077737C"/>
    <w:rsid w:val="007777DF"/>
    <w:rsid w:val="007803CE"/>
    <w:rsid w:val="00780536"/>
    <w:rsid w:val="00781BE3"/>
    <w:rsid w:val="00781C24"/>
    <w:rsid w:val="00781CED"/>
    <w:rsid w:val="007831C7"/>
    <w:rsid w:val="00783559"/>
    <w:rsid w:val="00783B2B"/>
    <w:rsid w:val="0078554C"/>
    <w:rsid w:val="00785F18"/>
    <w:rsid w:val="00786645"/>
    <w:rsid w:val="00786698"/>
    <w:rsid w:val="0079029D"/>
    <w:rsid w:val="007914CD"/>
    <w:rsid w:val="00792AB2"/>
    <w:rsid w:val="00793A08"/>
    <w:rsid w:val="00796486"/>
    <w:rsid w:val="00796CFF"/>
    <w:rsid w:val="007A3142"/>
    <w:rsid w:val="007A3BEE"/>
    <w:rsid w:val="007A4105"/>
    <w:rsid w:val="007A474C"/>
    <w:rsid w:val="007A482F"/>
    <w:rsid w:val="007B0280"/>
    <w:rsid w:val="007B163C"/>
    <w:rsid w:val="007B2BC2"/>
    <w:rsid w:val="007B54BC"/>
    <w:rsid w:val="007B5D9E"/>
    <w:rsid w:val="007B6E6F"/>
    <w:rsid w:val="007B6E9D"/>
    <w:rsid w:val="007C0CE8"/>
    <w:rsid w:val="007C406E"/>
    <w:rsid w:val="007C47AC"/>
    <w:rsid w:val="007C5959"/>
    <w:rsid w:val="007C66A9"/>
    <w:rsid w:val="007C7F09"/>
    <w:rsid w:val="007D08AB"/>
    <w:rsid w:val="007D0AC3"/>
    <w:rsid w:val="007D25B4"/>
    <w:rsid w:val="007D2C22"/>
    <w:rsid w:val="007D42B1"/>
    <w:rsid w:val="007D5658"/>
    <w:rsid w:val="007D6565"/>
    <w:rsid w:val="007D6B97"/>
    <w:rsid w:val="007D6DE6"/>
    <w:rsid w:val="007D6ED5"/>
    <w:rsid w:val="007D7652"/>
    <w:rsid w:val="007E023C"/>
    <w:rsid w:val="007E1149"/>
    <w:rsid w:val="007E2421"/>
    <w:rsid w:val="007E2C0D"/>
    <w:rsid w:val="007E33F7"/>
    <w:rsid w:val="007E3912"/>
    <w:rsid w:val="007E435C"/>
    <w:rsid w:val="007E6BE6"/>
    <w:rsid w:val="007E7E4E"/>
    <w:rsid w:val="007F100C"/>
    <w:rsid w:val="007F1982"/>
    <w:rsid w:val="007F383A"/>
    <w:rsid w:val="007F428E"/>
    <w:rsid w:val="007F4541"/>
    <w:rsid w:val="007F74ED"/>
    <w:rsid w:val="0080096E"/>
    <w:rsid w:val="00802342"/>
    <w:rsid w:val="008050E6"/>
    <w:rsid w:val="008060D3"/>
    <w:rsid w:val="00806B95"/>
    <w:rsid w:val="00807805"/>
    <w:rsid w:val="00810BAD"/>
    <w:rsid w:val="00810CFA"/>
    <w:rsid w:val="00811392"/>
    <w:rsid w:val="00812028"/>
    <w:rsid w:val="00812355"/>
    <w:rsid w:val="00812C5F"/>
    <w:rsid w:val="00812CAF"/>
    <w:rsid w:val="00813FEB"/>
    <w:rsid w:val="00814D03"/>
    <w:rsid w:val="0081537D"/>
    <w:rsid w:val="00816074"/>
    <w:rsid w:val="008168F7"/>
    <w:rsid w:val="00820F4D"/>
    <w:rsid w:val="0082382A"/>
    <w:rsid w:val="00824629"/>
    <w:rsid w:val="008248D0"/>
    <w:rsid w:val="00826F94"/>
    <w:rsid w:val="0083178B"/>
    <w:rsid w:val="00833695"/>
    <w:rsid w:val="00834F99"/>
    <w:rsid w:val="008364EF"/>
    <w:rsid w:val="0083788B"/>
    <w:rsid w:val="00837C66"/>
    <w:rsid w:val="008407B5"/>
    <w:rsid w:val="008409AE"/>
    <w:rsid w:val="008418C0"/>
    <w:rsid w:val="00841B4E"/>
    <w:rsid w:val="00842A21"/>
    <w:rsid w:val="00842CD8"/>
    <w:rsid w:val="008435CC"/>
    <w:rsid w:val="00844CC2"/>
    <w:rsid w:val="00845771"/>
    <w:rsid w:val="00845B01"/>
    <w:rsid w:val="00845E98"/>
    <w:rsid w:val="00847437"/>
    <w:rsid w:val="00847810"/>
    <w:rsid w:val="008517DE"/>
    <w:rsid w:val="00851BC3"/>
    <w:rsid w:val="008520D8"/>
    <w:rsid w:val="008525B2"/>
    <w:rsid w:val="008530B2"/>
    <w:rsid w:val="008537D3"/>
    <w:rsid w:val="008553C7"/>
    <w:rsid w:val="008555BB"/>
    <w:rsid w:val="00857770"/>
    <w:rsid w:val="00857FEB"/>
    <w:rsid w:val="00860B95"/>
    <w:rsid w:val="00861288"/>
    <w:rsid w:val="008616E0"/>
    <w:rsid w:val="00862050"/>
    <w:rsid w:val="008624AD"/>
    <w:rsid w:val="008624F0"/>
    <w:rsid w:val="00862AB6"/>
    <w:rsid w:val="00863A65"/>
    <w:rsid w:val="008646B0"/>
    <w:rsid w:val="00864B45"/>
    <w:rsid w:val="008666D2"/>
    <w:rsid w:val="00866F99"/>
    <w:rsid w:val="00871B05"/>
    <w:rsid w:val="008720EB"/>
    <w:rsid w:val="008735BA"/>
    <w:rsid w:val="00873E5C"/>
    <w:rsid w:val="008749DF"/>
    <w:rsid w:val="0087539B"/>
    <w:rsid w:val="008753FC"/>
    <w:rsid w:val="008777AA"/>
    <w:rsid w:val="008801F9"/>
    <w:rsid w:val="008802A6"/>
    <w:rsid w:val="00880A18"/>
    <w:rsid w:val="008812FB"/>
    <w:rsid w:val="00882814"/>
    <w:rsid w:val="00885418"/>
    <w:rsid w:val="00886E97"/>
    <w:rsid w:val="00887E4D"/>
    <w:rsid w:val="00891692"/>
    <w:rsid w:val="00892002"/>
    <w:rsid w:val="008927D3"/>
    <w:rsid w:val="008934AE"/>
    <w:rsid w:val="008934E6"/>
    <w:rsid w:val="008A08E8"/>
    <w:rsid w:val="008A118D"/>
    <w:rsid w:val="008A18FD"/>
    <w:rsid w:val="008A46A9"/>
    <w:rsid w:val="008A5A3F"/>
    <w:rsid w:val="008A646F"/>
    <w:rsid w:val="008A7020"/>
    <w:rsid w:val="008A702B"/>
    <w:rsid w:val="008A7174"/>
    <w:rsid w:val="008A7BDD"/>
    <w:rsid w:val="008B1BE5"/>
    <w:rsid w:val="008B378C"/>
    <w:rsid w:val="008B3929"/>
    <w:rsid w:val="008B3C2F"/>
    <w:rsid w:val="008B4118"/>
    <w:rsid w:val="008B4208"/>
    <w:rsid w:val="008B45D6"/>
    <w:rsid w:val="008B4CB3"/>
    <w:rsid w:val="008B54B2"/>
    <w:rsid w:val="008B720C"/>
    <w:rsid w:val="008B731A"/>
    <w:rsid w:val="008C2425"/>
    <w:rsid w:val="008C2444"/>
    <w:rsid w:val="008C2DB8"/>
    <w:rsid w:val="008C3F57"/>
    <w:rsid w:val="008C4604"/>
    <w:rsid w:val="008C46FD"/>
    <w:rsid w:val="008C58CA"/>
    <w:rsid w:val="008C5B1C"/>
    <w:rsid w:val="008C67AF"/>
    <w:rsid w:val="008C78FD"/>
    <w:rsid w:val="008D0EBE"/>
    <w:rsid w:val="008D16FD"/>
    <w:rsid w:val="008D1865"/>
    <w:rsid w:val="008D1C25"/>
    <w:rsid w:val="008D2355"/>
    <w:rsid w:val="008D2FA9"/>
    <w:rsid w:val="008D3279"/>
    <w:rsid w:val="008D3CEA"/>
    <w:rsid w:val="008D4C10"/>
    <w:rsid w:val="008D5B01"/>
    <w:rsid w:val="008D6EFF"/>
    <w:rsid w:val="008E0F60"/>
    <w:rsid w:val="008E22BC"/>
    <w:rsid w:val="008E29B4"/>
    <w:rsid w:val="008E35E2"/>
    <w:rsid w:val="008E3789"/>
    <w:rsid w:val="008E4E0C"/>
    <w:rsid w:val="008E5F59"/>
    <w:rsid w:val="008E7AC3"/>
    <w:rsid w:val="008E7C1B"/>
    <w:rsid w:val="008F0C84"/>
    <w:rsid w:val="008F1B70"/>
    <w:rsid w:val="008F2143"/>
    <w:rsid w:val="008F4A8D"/>
    <w:rsid w:val="008F69CD"/>
    <w:rsid w:val="008F722F"/>
    <w:rsid w:val="00900C34"/>
    <w:rsid w:val="00901121"/>
    <w:rsid w:val="00901C30"/>
    <w:rsid w:val="00901DEF"/>
    <w:rsid w:val="00902FF2"/>
    <w:rsid w:val="00903B67"/>
    <w:rsid w:val="00905B6D"/>
    <w:rsid w:val="0090647C"/>
    <w:rsid w:val="0090651A"/>
    <w:rsid w:val="0091000A"/>
    <w:rsid w:val="009102A9"/>
    <w:rsid w:val="00910642"/>
    <w:rsid w:val="00911C9A"/>
    <w:rsid w:val="00915065"/>
    <w:rsid w:val="009160BB"/>
    <w:rsid w:val="009166AD"/>
    <w:rsid w:val="00916B42"/>
    <w:rsid w:val="0091776E"/>
    <w:rsid w:val="00917821"/>
    <w:rsid w:val="00917A2F"/>
    <w:rsid w:val="00917BAC"/>
    <w:rsid w:val="009207B2"/>
    <w:rsid w:val="00921258"/>
    <w:rsid w:val="00921A22"/>
    <w:rsid w:val="00922786"/>
    <w:rsid w:val="00923012"/>
    <w:rsid w:val="0092303A"/>
    <w:rsid w:val="0092573B"/>
    <w:rsid w:val="0092630A"/>
    <w:rsid w:val="00927293"/>
    <w:rsid w:val="009311C8"/>
    <w:rsid w:val="0093264C"/>
    <w:rsid w:val="00933376"/>
    <w:rsid w:val="009336FC"/>
    <w:rsid w:val="009364D2"/>
    <w:rsid w:val="00937CE6"/>
    <w:rsid w:val="0094007A"/>
    <w:rsid w:val="00940C5F"/>
    <w:rsid w:val="00942355"/>
    <w:rsid w:val="00943BB5"/>
    <w:rsid w:val="00943F25"/>
    <w:rsid w:val="00944940"/>
    <w:rsid w:val="00944F01"/>
    <w:rsid w:val="00945691"/>
    <w:rsid w:val="009461BF"/>
    <w:rsid w:val="00946D29"/>
    <w:rsid w:val="0095050D"/>
    <w:rsid w:val="009513C2"/>
    <w:rsid w:val="0095259F"/>
    <w:rsid w:val="00952803"/>
    <w:rsid w:val="009534EF"/>
    <w:rsid w:val="0095352B"/>
    <w:rsid w:val="00955A7F"/>
    <w:rsid w:val="0095748C"/>
    <w:rsid w:val="0095787D"/>
    <w:rsid w:val="0096077C"/>
    <w:rsid w:val="0096143B"/>
    <w:rsid w:val="00961C28"/>
    <w:rsid w:val="00961FA7"/>
    <w:rsid w:val="00962114"/>
    <w:rsid w:val="009627A5"/>
    <w:rsid w:val="00962C56"/>
    <w:rsid w:val="00963FA3"/>
    <w:rsid w:val="00964BBF"/>
    <w:rsid w:val="00964F30"/>
    <w:rsid w:val="00965FD5"/>
    <w:rsid w:val="009668DE"/>
    <w:rsid w:val="00967346"/>
    <w:rsid w:val="009711D9"/>
    <w:rsid w:val="009716AF"/>
    <w:rsid w:val="009718F9"/>
    <w:rsid w:val="009720A7"/>
    <w:rsid w:val="00974199"/>
    <w:rsid w:val="00975112"/>
    <w:rsid w:val="00975202"/>
    <w:rsid w:val="009753D7"/>
    <w:rsid w:val="009769D4"/>
    <w:rsid w:val="00977002"/>
    <w:rsid w:val="009774C4"/>
    <w:rsid w:val="00981080"/>
    <w:rsid w:val="009811DF"/>
    <w:rsid w:val="00982949"/>
    <w:rsid w:val="00982B90"/>
    <w:rsid w:val="00982E82"/>
    <w:rsid w:val="00983333"/>
    <w:rsid w:val="00983A7C"/>
    <w:rsid w:val="00984D7B"/>
    <w:rsid w:val="00991B5F"/>
    <w:rsid w:val="00991C2E"/>
    <w:rsid w:val="00994E2F"/>
    <w:rsid w:val="00994EE0"/>
    <w:rsid w:val="00995A01"/>
    <w:rsid w:val="00996D13"/>
    <w:rsid w:val="00996ECA"/>
    <w:rsid w:val="00997480"/>
    <w:rsid w:val="00997999"/>
    <w:rsid w:val="009A022C"/>
    <w:rsid w:val="009A0FF6"/>
    <w:rsid w:val="009A15FA"/>
    <w:rsid w:val="009A1736"/>
    <w:rsid w:val="009A342B"/>
    <w:rsid w:val="009A3B71"/>
    <w:rsid w:val="009A3CA0"/>
    <w:rsid w:val="009A513F"/>
    <w:rsid w:val="009A542C"/>
    <w:rsid w:val="009A61BC"/>
    <w:rsid w:val="009A6527"/>
    <w:rsid w:val="009A676D"/>
    <w:rsid w:val="009A727A"/>
    <w:rsid w:val="009B1466"/>
    <w:rsid w:val="009B23D3"/>
    <w:rsid w:val="009B24B7"/>
    <w:rsid w:val="009B2587"/>
    <w:rsid w:val="009B41E7"/>
    <w:rsid w:val="009B424D"/>
    <w:rsid w:val="009B4CEF"/>
    <w:rsid w:val="009B57FB"/>
    <w:rsid w:val="009B7709"/>
    <w:rsid w:val="009C0D03"/>
    <w:rsid w:val="009C1AC6"/>
    <w:rsid w:val="009C1C75"/>
    <w:rsid w:val="009C26CF"/>
    <w:rsid w:val="009C2DD0"/>
    <w:rsid w:val="009C37AE"/>
    <w:rsid w:val="009C42BC"/>
    <w:rsid w:val="009C480E"/>
    <w:rsid w:val="009C4AAC"/>
    <w:rsid w:val="009C4F04"/>
    <w:rsid w:val="009C5250"/>
    <w:rsid w:val="009C692B"/>
    <w:rsid w:val="009D2539"/>
    <w:rsid w:val="009D277F"/>
    <w:rsid w:val="009D577A"/>
    <w:rsid w:val="009D7120"/>
    <w:rsid w:val="009D7DFA"/>
    <w:rsid w:val="009E042D"/>
    <w:rsid w:val="009E061F"/>
    <w:rsid w:val="009E1B8B"/>
    <w:rsid w:val="009E37E6"/>
    <w:rsid w:val="009E584D"/>
    <w:rsid w:val="009E6427"/>
    <w:rsid w:val="009E6E49"/>
    <w:rsid w:val="009E71C1"/>
    <w:rsid w:val="009E7DB8"/>
    <w:rsid w:val="009F3851"/>
    <w:rsid w:val="009F545F"/>
    <w:rsid w:val="00A02980"/>
    <w:rsid w:val="00A04081"/>
    <w:rsid w:val="00A043B4"/>
    <w:rsid w:val="00A045AE"/>
    <w:rsid w:val="00A04DC0"/>
    <w:rsid w:val="00A06827"/>
    <w:rsid w:val="00A07737"/>
    <w:rsid w:val="00A07D00"/>
    <w:rsid w:val="00A10614"/>
    <w:rsid w:val="00A10E98"/>
    <w:rsid w:val="00A11768"/>
    <w:rsid w:val="00A12458"/>
    <w:rsid w:val="00A13499"/>
    <w:rsid w:val="00A140D0"/>
    <w:rsid w:val="00A149C1"/>
    <w:rsid w:val="00A14A93"/>
    <w:rsid w:val="00A167EA"/>
    <w:rsid w:val="00A2172A"/>
    <w:rsid w:val="00A21A93"/>
    <w:rsid w:val="00A21B3B"/>
    <w:rsid w:val="00A21D71"/>
    <w:rsid w:val="00A2455B"/>
    <w:rsid w:val="00A245B7"/>
    <w:rsid w:val="00A25B4A"/>
    <w:rsid w:val="00A27328"/>
    <w:rsid w:val="00A277F9"/>
    <w:rsid w:val="00A30E68"/>
    <w:rsid w:val="00A31885"/>
    <w:rsid w:val="00A33763"/>
    <w:rsid w:val="00A34AA0"/>
    <w:rsid w:val="00A34FB3"/>
    <w:rsid w:val="00A3534E"/>
    <w:rsid w:val="00A35B30"/>
    <w:rsid w:val="00A35BEC"/>
    <w:rsid w:val="00A373C4"/>
    <w:rsid w:val="00A37B8E"/>
    <w:rsid w:val="00A40AA8"/>
    <w:rsid w:val="00A41EFC"/>
    <w:rsid w:val="00A4371E"/>
    <w:rsid w:val="00A46C17"/>
    <w:rsid w:val="00A47408"/>
    <w:rsid w:val="00A476B1"/>
    <w:rsid w:val="00A47733"/>
    <w:rsid w:val="00A511CD"/>
    <w:rsid w:val="00A52FE3"/>
    <w:rsid w:val="00A53E05"/>
    <w:rsid w:val="00A551E6"/>
    <w:rsid w:val="00A56946"/>
    <w:rsid w:val="00A56F36"/>
    <w:rsid w:val="00A578D8"/>
    <w:rsid w:val="00A61759"/>
    <w:rsid w:val="00A63889"/>
    <w:rsid w:val="00A6421B"/>
    <w:rsid w:val="00A64A23"/>
    <w:rsid w:val="00A64D6D"/>
    <w:rsid w:val="00A65FF9"/>
    <w:rsid w:val="00A70E93"/>
    <w:rsid w:val="00A71A15"/>
    <w:rsid w:val="00A74723"/>
    <w:rsid w:val="00A74DEC"/>
    <w:rsid w:val="00A76D10"/>
    <w:rsid w:val="00A76DC7"/>
    <w:rsid w:val="00A77C9E"/>
    <w:rsid w:val="00A77D7A"/>
    <w:rsid w:val="00A8053B"/>
    <w:rsid w:val="00A83AE7"/>
    <w:rsid w:val="00A84449"/>
    <w:rsid w:val="00A84B60"/>
    <w:rsid w:val="00A84E68"/>
    <w:rsid w:val="00A84F62"/>
    <w:rsid w:val="00A8630D"/>
    <w:rsid w:val="00A87B6C"/>
    <w:rsid w:val="00A90454"/>
    <w:rsid w:val="00A908F9"/>
    <w:rsid w:val="00A91451"/>
    <w:rsid w:val="00A91B1B"/>
    <w:rsid w:val="00A9351D"/>
    <w:rsid w:val="00A94A09"/>
    <w:rsid w:val="00A967EE"/>
    <w:rsid w:val="00A96C06"/>
    <w:rsid w:val="00AA089E"/>
    <w:rsid w:val="00AA4277"/>
    <w:rsid w:val="00AA474A"/>
    <w:rsid w:val="00AA4C2B"/>
    <w:rsid w:val="00AA4D58"/>
    <w:rsid w:val="00AA5B94"/>
    <w:rsid w:val="00AA6265"/>
    <w:rsid w:val="00AB4880"/>
    <w:rsid w:val="00AB5963"/>
    <w:rsid w:val="00AB6E6F"/>
    <w:rsid w:val="00AB762B"/>
    <w:rsid w:val="00AB78E0"/>
    <w:rsid w:val="00AC0810"/>
    <w:rsid w:val="00AC08BB"/>
    <w:rsid w:val="00AC0B3D"/>
    <w:rsid w:val="00AC1ED1"/>
    <w:rsid w:val="00AC211D"/>
    <w:rsid w:val="00AC2997"/>
    <w:rsid w:val="00AC3701"/>
    <w:rsid w:val="00AC49D8"/>
    <w:rsid w:val="00AC523C"/>
    <w:rsid w:val="00AC567F"/>
    <w:rsid w:val="00AD0140"/>
    <w:rsid w:val="00AD0A20"/>
    <w:rsid w:val="00AD0CCB"/>
    <w:rsid w:val="00AD0D21"/>
    <w:rsid w:val="00AD176B"/>
    <w:rsid w:val="00AD1BC4"/>
    <w:rsid w:val="00AD24CE"/>
    <w:rsid w:val="00AD279E"/>
    <w:rsid w:val="00AD2B89"/>
    <w:rsid w:val="00AD3A3C"/>
    <w:rsid w:val="00AD5465"/>
    <w:rsid w:val="00AD5C2E"/>
    <w:rsid w:val="00AE014C"/>
    <w:rsid w:val="00AE11B7"/>
    <w:rsid w:val="00AE1D56"/>
    <w:rsid w:val="00AE1D85"/>
    <w:rsid w:val="00AE266A"/>
    <w:rsid w:val="00AE4B61"/>
    <w:rsid w:val="00AE4E07"/>
    <w:rsid w:val="00AE50D5"/>
    <w:rsid w:val="00AE5230"/>
    <w:rsid w:val="00AE5901"/>
    <w:rsid w:val="00AE77B6"/>
    <w:rsid w:val="00AF01D7"/>
    <w:rsid w:val="00AF0612"/>
    <w:rsid w:val="00AF0888"/>
    <w:rsid w:val="00AF2170"/>
    <w:rsid w:val="00AF2F4F"/>
    <w:rsid w:val="00AF36B0"/>
    <w:rsid w:val="00AF4978"/>
    <w:rsid w:val="00AF612D"/>
    <w:rsid w:val="00AF6CAF"/>
    <w:rsid w:val="00AF7691"/>
    <w:rsid w:val="00AF7B1A"/>
    <w:rsid w:val="00AF7F47"/>
    <w:rsid w:val="00B00518"/>
    <w:rsid w:val="00B00A55"/>
    <w:rsid w:val="00B00F22"/>
    <w:rsid w:val="00B03628"/>
    <w:rsid w:val="00B06444"/>
    <w:rsid w:val="00B0686B"/>
    <w:rsid w:val="00B06C4D"/>
    <w:rsid w:val="00B06CE6"/>
    <w:rsid w:val="00B06D4B"/>
    <w:rsid w:val="00B07080"/>
    <w:rsid w:val="00B1151F"/>
    <w:rsid w:val="00B201ED"/>
    <w:rsid w:val="00B20A48"/>
    <w:rsid w:val="00B214B2"/>
    <w:rsid w:val="00B24584"/>
    <w:rsid w:val="00B24C4A"/>
    <w:rsid w:val="00B25CD9"/>
    <w:rsid w:val="00B26CCF"/>
    <w:rsid w:val="00B30004"/>
    <w:rsid w:val="00B30353"/>
    <w:rsid w:val="00B306E1"/>
    <w:rsid w:val="00B316B9"/>
    <w:rsid w:val="00B322C1"/>
    <w:rsid w:val="00B3331D"/>
    <w:rsid w:val="00B34C1E"/>
    <w:rsid w:val="00B35331"/>
    <w:rsid w:val="00B36546"/>
    <w:rsid w:val="00B424BA"/>
    <w:rsid w:val="00B44055"/>
    <w:rsid w:val="00B464BB"/>
    <w:rsid w:val="00B51544"/>
    <w:rsid w:val="00B52E2F"/>
    <w:rsid w:val="00B531DD"/>
    <w:rsid w:val="00B544FB"/>
    <w:rsid w:val="00B54564"/>
    <w:rsid w:val="00B54AF0"/>
    <w:rsid w:val="00B54FBC"/>
    <w:rsid w:val="00B55390"/>
    <w:rsid w:val="00B56A07"/>
    <w:rsid w:val="00B56D45"/>
    <w:rsid w:val="00B572E8"/>
    <w:rsid w:val="00B603B4"/>
    <w:rsid w:val="00B60860"/>
    <w:rsid w:val="00B61816"/>
    <w:rsid w:val="00B61C43"/>
    <w:rsid w:val="00B63309"/>
    <w:rsid w:val="00B6379D"/>
    <w:rsid w:val="00B645D2"/>
    <w:rsid w:val="00B67E6B"/>
    <w:rsid w:val="00B70FA5"/>
    <w:rsid w:val="00B717B0"/>
    <w:rsid w:val="00B7198E"/>
    <w:rsid w:val="00B71DC2"/>
    <w:rsid w:val="00B73546"/>
    <w:rsid w:val="00B73C91"/>
    <w:rsid w:val="00B74DD5"/>
    <w:rsid w:val="00B74F88"/>
    <w:rsid w:val="00B75F5B"/>
    <w:rsid w:val="00B76565"/>
    <w:rsid w:val="00B76A6E"/>
    <w:rsid w:val="00B80466"/>
    <w:rsid w:val="00B82EDC"/>
    <w:rsid w:val="00B84A83"/>
    <w:rsid w:val="00B879C7"/>
    <w:rsid w:val="00B90630"/>
    <w:rsid w:val="00B90D3F"/>
    <w:rsid w:val="00B90DA2"/>
    <w:rsid w:val="00B93893"/>
    <w:rsid w:val="00B93992"/>
    <w:rsid w:val="00B95E58"/>
    <w:rsid w:val="00B95FC2"/>
    <w:rsid w:val="00B979F2"/>
    <w:rsid w:val="00B97DCD"/>
    <w:rsid w:val="00BA034A"/>
    <w:rsid w:val="00BA06AC"/>
    <w:rsid w:val="00BA1B1C"/>
    <w:rsid w:val="00BA2CB0"/>
    <w:rsid w:val="00BA3472"/>
    <w:rsid w:val="00BA537F"/>
    <w:rsid w:val="00BA5E9E"/>
    <w:rsid w:val="00BA6D10"/>
    <w:rsid w:val="00BA770E"/>
    <w:rsid w:val="00BA77F1"/>
    <w:rsid w:val="00BA7A60"/>
    <w:rsid w:val="00BA7EDA"/>
    <w:rsid w:val="00BB102C"/>
    <w:rsid w:val="00BB11E1"/>
    <w:rsid w:val="00BB1594"/>
    <w:rsid w:val="00BB1670"/>
    <w:rsid w:val="00BB2BC0"/>
    <w:rsid w:val="00BB2D8B"/>
    <w:rsid w:val="00BB38D2"/>
    <w:rsid w:val="00BB6DA1"/>
    <w:rsid w:val="00BB7ABD"/>
    <w:rsid w:val="00BB7EB7"/>
    <w:rsid w:val="00BC0183"/>
    <w:rsid w:val="00BC02E9"/>
    <w:rsid w:val="00BC0A80"/>
    <w:rsid w:val="00BC12A3"/>
    <w:rsid w:val="00BC3B53"/>
    <w:rsid w:val="00BC3FD8"/>
    <w:rsid w:val="00BC4A98"/>
    <w:rsid w:val="00BC4D64"/>
    <w:rsid w:val="00BC5321"/>
    <w:rsid w:val="00BC54BD"/>
    <w:rsid w:val="00BC558D"/>
    <w:rsid w:val="00BC56F5"/>
    <w:rsid w:val="00BC7D8C"/>
    <w:rsid w:val="00BD0F12"/>
    <w:rsid w:val="00BD1454"/>
    <w:rsid w:val="00BD3D28"/>
    <w:rsid w:val="00BD4929"/>
    <w:rsid w:val="00BD5DFC"/>
    <w:rsid w:val="00BD7AE6"/>
    <w:rsid w:val="00BE01E1"/>
    <w:rsid w:val="00BE093E"/>
    <w:rsid w:val="00BE0B32"/>
    <w:rsid w:val="00BE2497"/>
    <w:rsid w:val="00BE39BB"/>
    <w:rsid w:val="00BE3CA4"/>
    <w:rsid w:val="00BE458E"/>
    <w:rsid w:val="00BE50F1"/>
    <w:rsid w:val="00BE5564"/>
    <w:rsid w:val="00BF00D3"/>
    <w:rsid w:val="00BF1365"/>
    <w:rsid w:val="00BF2B59"/>
    <w:rsid w:val="00BF2C4F"/>
    <w:rsid w:val="00BF2FD4"/>
    <w:rsid w:val="00BF37A3"/>
    <w:rsid w:val="00BF3D01"/>
    <w:rsid w:val="00BF50CD"/>
    <w:rsid w:val="00BF5B51"/>
    <w:rsid w:val="00C00B67"/>
    <w:rsid w:val="00C00F4E"/>
    <w:rsid w:val="00C01061"/>
    <w:rsid w:val="00C010DC"/>
    <w:rsid w:val="00C02AF8"/>
    <w:rsid w:val="00C03ED6"/>
    <w:rsid w:val="00C05318"/>
    <w:rsid w:val="00C07C40"/>
    <w:rsid w:val="00C10869"/>
    <w:rsid w:val="00C117E2"/>
    <w:rsid w:val="00C121D5"/>
    <w:rsid w:val="00C12C00"/>
    <w:rsid w:val="00C12E90"/>
    <w:rsid w:val="00C12EB9"/>
    <w:rsid w:val="00C1320B"/>
    <w:rsid w:val="00C1381A"/>
    <w:rsid w:val="00C14CC1"/>
    <w:rsid w:val="00C17996"/>
    <w:rsid w:val="00C206F1"/>
    <w:rsid w:val="00C2109C"/>
    <w:rsid w:val="00C21847"/>
    <w:rsid w:val="00C2582A"/>
    <w:rsid w:val="00C259E8"/>
    <w:rsid w:val="00C26035"/>
    <w:rsid w:val="00C26079"/>
    <w:rsid w:val="00C27206"/>
    <w:rsid w:val="00C30867"/>
    <w:rsid w:val="00C30AC1"/>
    <w:rsid w:val="00C3189F"/>
    <w:rsid w:val="00C3256E"/>
    <w:rsid w:val="00C33340"/>
    <w:rsid w:val="00C3445F"/>
    <w:rsid w:val="00C3573B"/>
    <w:rsid w:val="00C35A91"/>
    <w:rsid w:val="00C371A6"/>
    <w:rsid w:val="00C37A09"/>
    <w:rsid w:val="00C40C60"/>
    <w:rsid w:val="00C42F03"/>
    <w:rsid w:val="00C43022"/>
    <w:rsid w:val="00C43977"/>
    <w:rsid w:val="00C447C0"/>
    <w:rsid w:val="00C4542C"/>
    <w:rsid w:val="00C45561"/>
    <w:rsid w:val="00C458C9"/>
    <w:rsid w:val="00C46B84"/>
    <w:rsid w:val="00C50ECF"/>
    <w:rsid w:val="00C51807"/>
    <w:rsid w:val="00C52281"/>
    <w:rsid w:val="00C52480"/>
    <w:rsid w:val="00C52E42"/>
    <w:rsid w:val="00C53426"/>
    <w:rsid w:val="00C54346"/>
    <w:rsid w:val="00C54FEA"/>
    <w:rsid w:val="00C55E5A"/>
    <w:rsid w:val="00C56BE8"/>
    <w:rsid w:val="00C60E49"/>
    <w:rsid w:val="00C62A0B"/>
    <w:rsid w:val="00C63108"/>
    <w:rsid w:val="00C638E2"/>
    <w:rsid w:val="00C6537C"/>
    <w:rsid w:val="00C666E4"/>
    <w:rsid w:val="00C66AF9"/>
    <w:rsid w:val="00C676DA"/>
    <w:rsid w:val="00C67C18"/>
    <w:rsid w:val="00C73F3D"/>
    <w:rsid w:val="00C812F7"/>
    <w:rsid w:val="00C81B2D"/>
    <w:rsid w:val="00C833B6"/>
    <w:rsid w:val="00C83425"/>
    <w:rsid w:val="00C85838"/>
    <w:rsid w:val="00C85F26"/>
    <w:rsid w:val="00C86312"/>
    <w:rsid w:val="00C876B7"/>
    <w:rsid w:val="00C876CC"/>
    <w:rsid w:val="00C90846"/>
    <w:rsid w:val="00C90FBC"/>
    <w:rsid w:val="00C91B2C"/>
    <w:rsid w:val="00C92CA5"/>
    <w:rsid w:val="00C93B39"/>
    <w:rsid w:val="00C93CEB"/>
    <w:rsid w:val="00C95961"/>
    <w:rsid w:val="00CA0A69"/>
    <w:rsid w:val="00CA0DC1"/>
    <w:rsid w:val="00CA0E76"/>
    <w:rsid w:val="00CA15A9"/>
    <w:rsid w:val="00CA40F8"/>
    <w:rsid w:val="00CA473C"/>
    <w:rsid w:val="00CA47D3"/>
    <w:rsid w:val="00CA5110"/>
    <w:rsid w:val="00CA52E3"/>
    <w:rsid w:val="00CA53DE"/>
    <w:rsid w:val="00CA588C"/>
    <w:rsid w:val="00CA58C3"/>
    <w:rsid w:val="00CA5BC9"/>
    <w:rsid w:val="00CA6A55"/>
    <w:rsid w:val="00CA6DEF"/>
    <w:rsid w:val="00CB07FD"/>
    <w:rsid w:val="00CB156F"/>
    <w:rsid w:val="00CB1BBD"/>
    <w:rsid w:val="00CB25D9"/>
    <w:rsid w:val="00CB3777"/>
    <w:rsid w:val="00CB438C"/>
    <w:rsid w:val="00CB5A73"/>
    <w:rsid w:val="00CC0BB4"/>
    <w:rsid w:val="00CC12DF"/>
    <w:rsid w:val="00CC4D8D"/>
    <w:rsid w:val="00CC50A5"/>
    <w:rsid w:val="00CC63E0"/>
    <w:rsid w:val="00CC6671"/>
    <w:rsid w:val="00CC6FDD"/>
    <w:rsid w:val="00CC7D91"/>
    <w:rsid w:val="00CD0656"/>
    <w:rsid w:val="00CD1689"/>
    <w:rsid w:val="00CD2492"/>
    <w:rsid w:val="00CD47BA"/>
    <w:rsid w:val="00CD5427"/>
    <w:rsid w:val="00CD5DB0"/>
    <w:rsid w:val="00CD604A"/>
    <w:rsid w:val="00CD6791"/>
    <w:rsid w:val="00CD7B6F"/>
    <w:rsid w:val="00CE06A8"/>
    <w:rsid w:val="00CE15C4"/>
    <w:rsid w:val="00CE225D"/>
    <w:rsid w:val="00CE2E6A"/>
    <w:rsid w:val="00CE2EA9"/>
    <w:rsid w:val="00CE41DA"/>
    <w:rsid w:val="00CE6D64"/>
    <w:rsid w:val="00CE74D9"/>
    <w:rsid w:val="00CF053F"/>
    <w:rsid w:val="00CF0A55"/>
    <w:rsid w:val="00CF0CF7"/>
    <w:rsid w:val="00CF22B2"/>
    <w:rsid w:val="00CF301C"/>
    <w:rsid w:val="00CF7C8B"/>
    <w:rsid w:val="00D00180"/>
    <w:rsid w:val="00D00793"/>
    <w:rsid w:val="00D0132F"/>
    <w:rsid w:val="00D018C8"/>
    <w:rsid w:val="00D01D15"/>
    <w:rsid w:val="00D04083"/>
    <w:rsid w:val="00D04E55"/>
    <w:rsid w:val="00D05C03"/>
    <w:rsid w:val="00D078E1"/>
    <w:rsid w:val="00D102D2"/>
    <w:rsid w:val="00D10AEF"/>
    <w:rsid w:val="00D10BEA"/>
    <w:rsid w:val="00D12A7F"/>
    <w:rsid w:val="00D131D6"/>
    <w:rsid w:val="00D13305"/>
    <w:rsid w:val="00D135BA"/>
    <w:rsid w:val="00D13B8F"/>
    <w:rsid w:val="00D13C6D"/>
    <w:rsid w:val="00D13CAF"/>
    <w:rsid w:val="00D16901"/>
    <w:rsid w:val="00D17A1D"/>
    <w:rsid w:val="00D17EAC"/>
    <w:rsid w:val="00D20C77"/>
    <w:rsid w:val="00D218AC"/>
    <w:rsid w:val="00D221A6"/>
    <w:rsid w:val="00D23037"/>
    <w:rsid w:val="00D232A2"/>
    <w:rsid w:val="00D23522"/>
    <w:rsid w:val="00D25C90"/>
    <w:rsid w:val="00D25F5C"/>
    <w:rsid w:val="00D26196"/>
    <w:rsid w:val="00D279AE"/>
    <w:rsid w:val="00D30900"/>
    <w:rsid w:val="00D30F08"/>
    <w:rsid w:val="00D311EA"/>
    <w:rsid w:val="00D31C61"/>
    <w:rsid w:val="00D323BE"/>
    <w:rsid w:val="00D32F98"/>
    <w:rsid w:val="00D3534B"/>
    <w:rsid w:val="00D358D8"/>
    <w:rsid w:val="00D365C5"/>
    <w:rsid w:val="00D36C95"/>
    <w:rsid w:val="00D405AB"/>
    <w:rsid w:val="00D41280"/>
    <w:rsid w:val="00D43528"/>
    <w:rsid w:val="00D43DA4"/>
    <w:rsid w:val="00D45EB0"/>
    <w:rsid w:val="00D46125"/>
    <w:rsid w:val="00D47F13"/>
    <w:rsid w:val="00D50EFB"/>
    <w:rsid w:val="00D51CF0"/>
    <w:rsid w:val="00D52F46"/>
    <w:rsid w:val="00D5423B"/>
    <w:rsid w:val="00D54F4E"/>
    <w:rsid w:val="00D55774"/>
    <w:rsid w:val="00D55865"/>
    <w:rsid w:val="00D56274"/>
    <w:rsid w:val="00D5720B"/>
    <w:rsid w:val="00D60BA4"/>
    <w:rsid w:val="00D60EBB"/>
    <w:rsid w:val="00D61E03"/>
    <w:rsid w:val="00D6234D"/>
    <w:rsid w:val="00D62F23"/>
    <w:rsid w:val="00D63691"/>
    <w:rsid w:val="00D6388C"/>
    <w:rsid w:val="00D6425D"/>
    <w:rsid w:val="00D646B5"/>
    <w:rsid w:val="00D6528F"/>
    <w:rsid w:val="00D65B3F"/>
    <w:rsid w:val="00D673E5"/>
    <w:rsid w:val="00D67462"/>
    <w:rsid w:val="00D67A7A"/>
    <w:rsid w:val="00D67F8F"/>
    <w:rsid w:val="00D711A5"/>
    <w:rsid w:val="00D713FF"/>
    <w:rsid w:val="00D72421"/>
    <w:rsid w:val="00D724AA"/>
    <w:rsid w:val="00D72994"/>
    <w:rsid w:val="00D734E5"/>
    <w:rsid w:val="00D73F97"/>
    <w:rsid w:val="00D745A7"/>
    <w:rsid w:val="00D74D0A"/>
    <w:rsid w:val="00D767D8"/>
    <w:rsid w:val="00D767FA"/>
    <w:rsid w:val="00D76A52"/>
    <w:rsid w:val="00D80CCE"/>
    <w:rsid w:val="00D81D90"/>
    <w:rsid w:val="00D82202"/>
    <w:rsid w:val="00D828C1"/>
    <w:rsid w:val="00D82C8B"/>
    <w:rsid w:val="00D83104"/>
    <w:rsid w:val="00D83137"/>
    <w:rsid w:val="00D835E0"/>
    <w:rsid w:val="00D85213"/>
    <w:rsid w:val="00D85863"/>
    <w:rsid w:val="00D85A93"/>
    <w:rsid w:val="00D860FC"/>
    <w:rsid w:val="00D87744"/>
    <w:rsid w:val="00D87FF1"/>
    <w:rsid w:val="00D916B5"/>
    <w:rsid w:val="00D92483"/>
    <w:rsid w:val="00D92633"/>
    <w:rsid w:val="00D93CE9"/>
    <w:rsid w:val="00D94DB4"/>
    <w:rsid w:val="00D951CB"/>
    <w:rsid w:val="00D96E40"/>
    <w:rsid w:val="00D96E6E"/>
    <w:rsid w:val="00DA11ED"/>
    <w:rsid w:val="00DA2288"/>
    <w:rsid w:val="00DA243E"/>
    <w:rsid w:val="00DA261F"/>
    <w:rsid w:val="00DA298C"/>
    <w:rsid w:val="00DA3105"/>
    <w:rsid w:val="00DA33DA"/>
    <w:rsid w:val="00DA601E"/>
    <w:rsid w:val="00DA7CDA"/>
    <w:rsid w:val="00DB030C"/>
    <w:rsid w:val="00DB21C3"/>
    <w:rsid w:val="00DB2280"/>
    <w:rsid w:val="00DB24EF"/>
    <w:rsid w:val="00DB403F"/>
    <w:rsid w:val="00DB4A3A"/>
    <w:rsid w:val="00DB4FA7"/>
    <w:rsid w:val="00DB77EC"/>
    <w:rsid w:val="00DB7D94"/>
    <w:rsid w:val="00DB7F0B"/>
    <w:rsid w:val="00DC1AA9"/>
    <w:rsid w:val="00DC2000"/>
    <w:rsid w:val="00DC5DA8"/>
    <w:rsid w:val="00DC6739"/>
    <w:rsid w:val="00DC6E11"/>
    <w:rsid w:val="00DD1B91"/>
    <w:rsid w:val="00DD2107"/>
    <w:rsid w:val="00DD368B"/>
    <w:rsid w:val="00DD5DC1"/>
    <w:rsid w:val="00DD6E29"/>
    <w:rsid w:val="00DE2DA8"/>
    <w:rsid w:val="00DE343C"/>
    <w:rsid w:val="00DE3D76"/>
    <w:rsid w:val="00DE575C"/>
    <w:rsid w:val="00DE578A"/>
    <w:rsid w:val="00DE5D8B"/>
    <w:rsid w:val="00DE6AC5"/>
    <w:rsid w:val="00DE6E7E"/>
    <w:rsid w:val="00DE7DDA"/>
    <w:rsid w:val="00DF0392"/>
    <w:rsid w:val="00DF1D1E"/>
    <w:rsid w:val="00DF2583"/>
    <w:rsid w:val="00DF4B55"/>
    <w:rsid w:val="00DF54D9"/>
    <w:rsid w:val="00DF5DC9"/>
    <w:rsid w:val="00DF6973"/>
    <w:rsid w:val="00DF79E9"/>
    <w:rsid w:val="00E00687"/>
    <w:rsid w:val="00E008CB"/>
    <w:rsid w:val="00E021C8"/>
    <w:rsid w:val="00E03D32"/>
    <w:rsid w:val="00E03E8B"/>
    <w:rsid w:val="00E04465"/>
    <w:rsid w:val="00E046C5"/>
    <w:rsid w:val="00E04E34"/>
    <w:rsid w:val="00E05FDB"/>
    <w:rsid w:val="00E10991"/>
    <w:rsid w:val="00E10DC6"/>
    <w:rsid w:val="00E11F8E"/>
    <w:rsid w:val="00E12B7F"/>
    <w:rsid w:val="00E1387B"/>
    <w:rsid w:val="00E13A1C"/>
    <w:rsid w:val="00E145EA"/>
    <w:rsid w:val="00E15544"/>
    <w:rsid w:val="00E17944"/>
    <w:rsid w:val="00E17BC5"/>
    <w:rsid w:val="00E20A86"/>
    <w:rsid w:val="00E22722"/>
    <w:rsid w:val="00E2347F"/>
    <w:rsid w:val="00E2457C"/>
    <w:rsid w:val="00E262B6"/>
    <w:rsid w:val="00E276B2"/>
    <w:rsid w:val="00E30484"/>
    <w:rsid w:val="00E3087A"/>
    <w:rsid w:val="00E319EF"/>
    <w:rsid w:val="00E33614"/>
    <w:rsid w:val="00E33FD4"/>
    <w:rsid w:val="00E34376"/>
    <w:rsid w:val="00E34ED6"/>
    <w:rsid w:val="00E3596E"/>
    <w:rsid w:val="00E364EF"/>
    <w:rsid w:val="00E4094E"/>
    <w:rsid w:val="00E423ED"/>
    <w:rsid w:val="00E426A4"/>
    <w:rsid w:val="00E42D22"/>
    <w:rsid w:val="00E4573C"/>
    <w:rsid w:val="00E458E2"/>
    <w:rsid w:val="00E45A08"/>
    <w:rsid w:val="00E45F37"/>
    <w:rsid w:val="00E466F2"/>
    <w:rsid w:val="00E50A17"/>
    <w:rsid w:val="00E50BD4"/>
    <w:rsid w:val="00E51959"/>
    <w:rsid w:val="00E51B52"/>
    <w:rsid w:val="00E53F72"/>
    <w:rsid w:val="00E5538F"/>
    <w:rsid w:val="00E56173"/>
    <w:rsid w:val="00E56899"/>
    <w:rsid w:val="00E56ADD"/>
    <w:rsid w:val="00E575BA"/>
    <w:rsid w:val="00E5788D"/>
    <w:rsid w:val="00E57CC8"/>
    <w:rsid w:val="00E615C9"/>
    <w:rsid w:val="00E62286"/>
    <w:rsid w:val="00E622AE"/>
    <w:rsid w:val="00E634B6"/>
    <w:rsid w:val="00E634E3"/>
    <w:rsid w:val="00E645B1"/>
    <w:rsid w:val="00E6586E"/>
    <w:rsid w:val="00E659A6"/>
    <w:rsid w:val="00E7106C"/>
    <w:rsid w:val="00E724F5"/>
    <w:rsid w:val="00E72A7B"/>
    <w:rsid w:val="00E72C65"/>
    <w:rsid w:val="00E74D8E"/>
    <w:rsid w:val="00E75C19"/>
    <w:rsid w:val="00E75D2C"/>
    <w:rsid w:val="00E80F31"/>
    <w:rsid w:val="00E81549"/>
    <w:rsid w:val="00E82965"/>
    <w:rsid w:val="00E85102"/>
    <w:rsid w:val="00E8592D"/>
    <w:rsid w:val="00E85CF3"/>
    <w:rsid w:val="00E86633"/>
    <w:rsid w:val="00E876A6"/>
    <w:rsid w:val="00E91BAF"/>
    <w:rsid w:val="00E9497F"/>
    <w:rsid w:val="00E96D0E"/>
    <w:rsid w:val="00EA0AA8"/>
    <w:rsid w:val="00EA14C5"/>
    <w:rsid w:val="00EA1765"/>
    <w:rsid w:val="00EA1A03"/>
    <w:rsid w:val="00EA26EF"/>
    <w:rsid w:val="00EA3241"/>
    <w:rsid w:val="00EA3B5F"/>
    <w:rsid w:val="00EA5786"/>
    <w:rsid w:val="00EA615D"/>
    <w:rsid w:val="00EA75C1"/>
    <w:rsid w:val="00EA7B10"/>
    <w:rsid w:val="00EA7E27"/>
    <w:rsid w:val="00EB141A"/>
    <w:rsid w:val="00EB2DEB"/>
    <w:rsid w:val="00EB40BD"/>
    <w:rsid w:val="00EB6D1A"/>
    <w:rsid w:val="00EB7038"/>
    <w:rsid w:val="00EB7550"/>
    <w:rsid w:val="00EB7C2E"/>
    <w:rsid w:val="00EC0D3F"/>
    <w:rsid w:val="00EC0F04"/>
    <w:rsid w:val="00EC1309"/>
    <w:rsid w:val="00EC237D"/>
    <w:rsid w:val="00EC3951"/>
    <w:rsid w:val="00EC4FE7"/>
    <w:rsid w:val="00EC5F70"/>
    <w:rsid w:val="00EC6882"/>
    <w:rsid w:val="00EC6AAB"/>
    <w:rsid w:val="00EC6F2A"/>
    <w:rsid w:val="00EC777A"/>
    <w:rsid w:val="00EC7BB2"/>
    <w:rsid w:val="00EC7EEF"/>
    <w:rsid w:val="00ED0814"/>
    <w:rsid w:val="00ED0BF6"/>
    <w:rsid w:val="00ED2F32"/>
    <w:rsid w:val="00ED3D43"/>
    <w:rsid w:val="00ED4248"/>
    <w:rsid w:val="00ED528E"/>
    <w:rsid w:val="00ED60CA"/>
    <w:rsid w:val="00ED64EF"/>
    <w:rsid w:val="00ED6C54"/>
    <w:rsid w:val="00ED6CDA"/>
    <w:rsid w:val="00ED7E9D"/>
    <w:rsid w:val="00EE0CAE"/>
    <w:rsid w:val="00EE0EC3"/>
    <w:rsid w:val="00EE1819"/>
    <w:rsid w:val="00EE1A75"/>
    <w:rsid w:val="00EE1B9E"/>
    <w:rsid w:val="00EE1DC0"/>
    <w:rsid w:val="00EE4A1F"/>
    <w:rsid w:val="00EE53EA"/>
    <w:rsid w:val="00EE73B9"/>
    <w:rsid w:val="00EF009A"/>
    <w:rsid w:val="00EF0D0D"/>
    <w:rsid w:val="00EF0ED5"/>
    <w:rsid w:val="00EF1B5A"/>
    <w:rsid w:val="00EF2CCA"/>
    <w:rsid w:val="00EF2F08"/>
    <w:rsid w:val="00EF61AC"/>
    <w:rsid w:val="00EF791D"/>
    <w:rsid w:val="00F01325"/>
    <w:rsid w:val="00F0172C"/>
    <w:rsid w:val="00F017B1"/>
    <w:rsid w:val="00F01BA1"/>
    <w:rsid w:val="00F03E1B"/>
    <w:rsid w:val="00F04D64"/>
    <w:rsid w:val="00F057E0"/>
    <w:rsid w:val="00F10041"/>
    <w:rsid w:val="00F10ADF"/>
    <w:rsid w:val="00F113F1"/>
    <w:rsid w:val="00F12161"/>
    <w:rsid w:val="00F13F47"/>
    <w:rsid w:val="00F155AD"/>
    <w:rsid w:val="00F16EBD"/>
    <w:rsid w:val="00F214D5"/>
    <w:rsid w:val="00F22336"/>
    <w:rsid w:val="00F229EF"/>
    <w:rsid w:val="00F22C62"/>
    <w:rsid w:val="00F237DC"/>
    <w:rsid w:val="00F23871"/>
    <w:rsid w:val="00F2428D"/>
    <w:rsid w:val="00F24A31"/>
    <w:rsid w:val="00F24E4E"/>
    <w:rsid w:val="00F25905"/>
    <w:rsid w:val="00F25B7F"/>
    <w:rsid w:val="00F26059"/>
    <w:rsid w:val="00F2608D"/>
    <w:rsid w:val="00F303D9"/>
    <w:rsid w:val="00F313B0"/>
    <w:rsid w:val="00F313FC"/>
    <w:rsid w:val="00F32CCF"/>
    <w:rsid w:val="00F33E73"/>
    <w:rsid w:val="00F343DA"/>
    <w:rsid w:val="00F344FD"/>
    <w:rsid w:val="00F359F8"/>
    <w:rsid w:val="00F3652C"/>
    <w:rsid w:val="00F366F4"/>
    <w:rsid w:val="00F36803"/>
    <w:rsid w:val="00F376A8"/>
    <w:rsid w:val="00F40005"/>
    <w:rsid w:val="00F43D1A"/>
    <w:rsid w:val="00F43E8A"/>
    <w:rsid w:val="00F44F66"/>
    <w:rsid w:val="00F45528"/>
    <w:rsid w:val="00F46AA1"/>
    <w:rsid w:val="00F47235"/>
    <w:rsid w:val="00F47A9A"/>
    <w:rsid w:val="00F50554"/>
    <w:rsid w:val="00F51771"/>
    <w:rsid w:val="00F51B20"/>
    <w:rsid w:val="00F51E01"/>
    <w:rsid w:val="00F53F91"/>
    <w:rsid w:val="00F54198"/>
    <w:rsid w:val="00F56255"/>
    <w:rsid w:val="00F5650A"/>
    <w:rsid w:val="00F56E16"/>
    <w:rsid w:val="00F57321"/>
    <w:rsid w:val="00F579AD"/>
    <w:rsid w:val="00F57CD4"/>
    <w:rsid w:val="00F613E9"/>
    <w:rsid w:val="00F6168C"/>
    <w:rsid w:val="00F61A72"/>
    <w:rsid w:val="00F62D1F"/>
    <w:rsid w:val="00F6371E"/>
    <w:rsid w:val="00F63E0E"/>
    <w:rsid w:val="00F65951"/>
    <w:rsid w:val="00F65DE4"/>
    <w:rsid w:val="00F66F13"/>
    <w:rsid w:val="00F66FF0"/>
    <w:rsid w:val="00F723E0"/>
    <w:rsid w:val="00F72479"/>
    <w:rsid w:val="00F74073"/>
    <w:rsid w:val="00F7428E"/>
    <w:rsid w:val="00F74AC4"/>
    <w:rsid w:val="00F74D7D"/>
    <w:rsid w:val="00F74E87"/>
    <w:rsid w:val="00F7614E"/>
    <w:rsid w:val="00F76304"/>
    <w:rsid w:val="00F77453"/>
    <w:rsid w:val="00F80F82"/>
    <w:rsid w:val="00F81A04"/>
    <w:rsid w:val="00F839EC"/>
    <w:rsid w:val="00F83E14"/>
    <w:rsid w:val="00F84116"/>
    <w:rsid w:val="00F842F6"/>
    <w:rsid w:val="00F8524E"/>
    <w:rsid w:val="00F86BF4"/>
    <w:rsid w:val="00F8778E"/>
    <w:rsid w:val="00F87D67"/>
    <w:rsid w:val="00F87D80"/>
    <w:rsid w:val="00F90D94"/>
    <w:rsid w:val="00F90E04"/>
    <w:rsid w:val="00F9189A"/>
    <w:rsid w:val="00F91FBC"/>
    <w:rsid w:val="00F92508"/>
    <w:rsid w:val="00F928C5"/>
    <w:rsid w:val="00F95FF7"/>
    <w:rsid w:val="00F970A1"/>
    <w:rsid w:val="00FA1759"/>
    <w:rsid w:val="00FA277B"/>
    <w:rsid w:val="00FA4805"/>
    <w:rsid w:val="00FA4F5D"/>
    <w:rsid w:val="00FA4F98"/>
    <w:rsid w:val="00FA6438"/>
    <w:rsid w:val="00FB04A3"/>
    <w:rsid w:val="00FB06ED"/>
    <w:rsid w:val="00FB0C45"/>
    <w:rsid w:val="00FB1156"/>
    <w:rsid w:val="00FB43AC"/>
    <w:rsid w:val="00FB76DB"/>
    <w:rsid w:val="00FC084D"/>
    <w:rsid w:val="00FC1A28"/>
    <w:rsid w:val="00FC339C"/>
    <w:rsid w:val="00FC36AB"/>
    <w:rsid w:val="00FC3F21"/>
    <w:rsid w:val="00FC5A5F"/>
    <w:rsid w:val="00FC6AB4"/>
    <w:rsid w:val="00FC6EC6"/>
    <w:rsid w:val="00FD042A"/>
    <w:rsid w:val="00FD09E3"/>
    <w:rsid w:val="00FD115C"/>
    <w:rsid w:val="00FD1727"/>
    <w:rsid w:val="00FD1D6B"/>
    <w:rsid w:val="00FD2798"/>
    <w:rsid w:val="00FD2A72"/>
    <w:rsid w:val="00FD380B"/>
    <w:rsid w:val="00FD5819"/>
    <w:rsid w:val="00FD584C"/>
    <w:rsid w:val="00FD6292"/>
    <w:rsid w:val="00FD6F0F"/>
    <w:rsid w:val="00FD7FEE"/>
    <w:rsid w:val="00FE00C7"/>
    <w:rsid w:val="00FE15EB"/>
    <w:rsid w:val="00FE1E90"/>
    <w:rsid w:val="00FE4F08"/>
    <w:rsid w:val="00FE5C0A"/>
    <w:rsid w:val="00FE64E4"/>
    <w:rsid w:val="00FF0D35"/>
    <w:rsid w:val="00FF0DF2"/>
    <w:rsid w:val="00FF10DE"/>
    <w:rsid w:val="00FF3A5A"/>
    <w:rsid w:val="00FF4E43"/>
    <w:rsid w:val="00FF5128"/>
    <w:rsid w:val="00FF593C"/>
    <w:rsid w:val="00FF6EDD"/>
    <w:rsid w:val="00FF77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fill="f" fillcolor="white" stroke="f">
      <v:fill color="white" on="f"/>
      <v:stroke on="f"/>
    </o:shapedefaults>
    <o:shapelayout v:ext="edit">
      <o:idmap v:ext="edit" data="1"/>
    </o:shapelayout>
  </w:shapeDefaults>
  <w:decimalSymbol w:val=","/>
  <w:listSeparator w:val=";"/>
  <w14:docId w14:val="6B3A87E4"/>
  <w15:chartTrackingRefBased/>
  <w15:docId w15:val="{3F149601-5C8A-46F2-854A-E5AEF5F55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D94"/>
    <w:pPr>
      <w:spacing w:line="240" w:lineRule="atLeast"/>
    </w:pPr>
    <w:rPr>
      <w:rFonts w:ascii="Verdana" w:hAnsi="Verdana"/>
      <w:sz w:val="18"/>
      <w:szCs w:val="24"/>
      <w:lang w:val="nl-NL" w:eastAsia="nl-NL"/>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rFonts w:cs="Times New Roman"/>
      <w:b/>
      <w:bCs w:val="0"/>
      <w:iCs/>
      <w:sz w:val="18"/>
      <w:szCs w:val="28"/>
      <w:lang w:val="x-none" w:eastAsia="x-none"/>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rPr>
      <w:lang w:val="x-none" w:eastAsia="x-none"/>
    </w:r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rPr>
      <w:lang w:val="x-none" w:eastAsia="x-none"/>
    </w:r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lang w:val="x-none" w:eastAsia="x-none"/>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lang w:val="x-none" w:eastAsia="x-none"/>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val="x-none"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lang w:val="nl-NL" w:eastAsia="nl-NL"/>
    </w:rPr>
  </w:style>
  <w:style w:type="character" w:styleId="FollowedHyperlink">
    <w:name w:val="FollowedHyperlink"/>
    <w:rsid w:val="008A7020"/>
    <w:rPr>
      <w:color w:val="954F72"/>
      <w:u w:val="single"/>
    </w:rPr>
  </w:style>
  <w:style w:type="paragraph" w:styleId="ListParagraph">
    <w:name w:val="List Paragraph"/>
    <w:basedOn w:val="Normal"/>
    <w:uiPriority w:val="34"/>
    <w:qFormat/>
    <w:rsid w:val="00010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6816">
      <w:bodyDiv w:val="1"/>
      <w:marLeft w:val="0"/>
      <w:marRight w:val="0"/>
      <w:marTop w:val="0"/>
      <w:marBottom w:val="0"/>
      <w:divBdr>
        <w:top w:val="none" w:sz="0" w:space="0" w:color="auto"/>
        <w:left w:val="none" w:sz="0" w:space="0" w:color="auto"/>
        <w:bottom w:val="none" w:sz="0" w:space="0" w:color="auto"/>
        <w:right w:val="none" w:sz="0" w:space="0" w:color="auto"/>
      </w:divBdr>
      <w:divsChild>
        <w:div w:id="309015549">
          <w:marLeft w:val="0"/>
          <w:marRight w:val="0"/>
          <w:marTop w:val="0"/>
          <w:marBottom w:val="0"/>
          <w:divBdr>
            <w:top w:val="none" w:sz="0" w:space="0" w:color="auto"/>
            <w:left w:val="none" w:sz="0" w:space="0" w:color="auto"/>
            <w:bottom w:val="none" w:sz="0" w:space="0" w:color="auto"/>
            <w:right w:val="none" w:sz="0" w:space="0" w:color="auto"/>
          </w:divBdr>
        </w:div>
        <w:div w:id="524901419">
          <w:marLeft w:val="0"/>
          <w:marRight w:val="0"/>
          <w:marTop w:val="0"/>
          <w:marBottom w:val="0"/>
          <w:divBdr>
            <w:top w:val="none" w:sz="0" w:space="0" w:color="auto"/>
            <w:left w:val="none" w:sz="0" w:space="0" w:color="auto"/>
            <w:bottom w:val="none" w:sz="0" w:space="0" w:color="auto"/>
            <w:right w:val="none" w:sz="0" w:space="0" w:color="auto"/>
          </w:divBdr>
        </w:div>
        <w:div w:id="948506080">
          <w:marLeft w:val="0"/>
          <w:marRight w:val="0"/>
          <w:marTop w:val="0"/>
          <w:marBottom w:val="0"/>
          <w:divBdr>
            <w:top w:val="none" w:sz="0" w:space="0" w:color="auto"/>
            <w:left w:val="none" w:sz="0" w:space="0" w:color="auto"/>
            <w:bottom w:val="none" w:sz="0" w:space="0" w:color="auto"/>
            <w:right w:val="none" w:sz="0" w:space="0" w:color="auto"/>
          </w:divBdr>
        </w:div>
        <w:div w:id="1328560022">
          <w:marLeft w:val="0"/>
          <w:marRight w:val="0"/>
          <w:marTop w:val="0"/>
          <w:marBottom w:val="0"/>
          <w:divBdr>
            <w:top w:val="none" w:sz="0" w:space="0" w:color="auto"/>
            <w:left w:val="none" w:sz="0" w:space="0" w:color="auto"/>
            <w:bottom w:val="none" w:sz="0" w:space="0" w:color="auto"/>
            <w:right w:val="none" w:sz="0" w:space="0" w:color="auto"/>
          </w:divBdr>
        </w:div>
        <w:div w:id="1654522482">
          <w:marLeft w:val="0"/>
          <w:marRight w:val="0"/>
          <w:marTop w:val="0"/>
          <w:marBottom w:val="0"/>
          <w:divBdr>
            <w:top w:val="none" w:sz="0" w:space="0" w:color="auto"/>
            <w:left w:val="none" w:sz="0" w:space="0" w:color="auto"/>
            <w:bottom w:val="none" w:sz="0" w:space="0" w:color="auto"/>
            <w:right w:val="none" w:sz="0" w:space="0" w:color="auto"/>
          </w:divBdr>
        </w:div>
        <w:div w:id="1700399169">
          <w:marLeft w:val="0"/>
          <w:marRight w:val="0"/>
          <w:marTop w:val="0"/>
          <w:marBottom w:val="0"/>
          <w:divBdr>
            <w:top w:val="none" w:sz="0" w:space="0" w:color="auto"/>
            <w:left w:val="none" w:sz="0" w:space="0" w:color="auto"/>
            <w:bottom w:val="none" w:sz="0" w:space="0" w:color="auto"/>
            <w:right w:val="none" w:sz="0" w:space="0" w:color="auto"/>
          </w:divBdr>
        </w:div>
        <w:div w:id="1991861689">
          <w:marLeft w:val="0"/>
          <w:marRight w:val="0"/>
          <w:marTop w:val="0"/>
          <w:marBottom w:val="0"/>
          <w:divBdr>
            <w:top w:val="none" w:sz="0" w:space="0" w:color="auto"/>
            <w:left w:val="none" w:sz="0" w:space="0" w:color="auto"/>
            <w:bottom w:val="none" w:sz="0" w:space="0" w:color="auto"/>
            <w:right w:val="none" w:sz="0" w:space="0" w:color="auto"/>
          </w:divBdr>
        </w:div>
        <w:div w:id="2001694160">
          <w:marLeft w:val="0"/>
          <w:marRight w:val="0"/>
          <w:marTop w:val="0"/>
          <w:marBottom w:val="0"/>
          <w:divBdr>
            <w:top w:val="none" w:sz="0" w:space="0" w:color="auto"/>
            <w:left w:val="none" w:sz="0" w:space="0" w:color="auto"/>
            <w:bottom w:val="none" w:sz="0" w:space="0" w:color="auto"/>
            <w:right w:val="none" w:sz="0" w:space="0" w:color="auto"/>
          </w:divBdr>
        </w:div>
        <w:div w:id="2077389694">
          <w:marLeft w:val="0"/>
          <w:marRight w:val="0"/>
          <w:marTop w:val="0"/>
          <w:marBottom w:val="0"/>
          <w:divBdr>
            <w:top w:val="none" w:sz="0" w:space="0" w:color="auto"/>
            <w:left w:val="none" w:sz="0" w:space="0" w:color="auto"/>
            <w:bottom w:val="none" w:sz="0" w:space="0" w:color="auto"/>
            <w:right w:val="none" w:sz="0" w:space="0" w:color="auto"/>
          </w:divBdr>
        </w:div>
        <w:div w:id="2101443146">
          <w:marLeft w:val="0"/>
          <w:marRight w:val="0"/>
          <w:marTop w:val="0"/>
          <w:marBottom w:val="0"/>
          <w:divBdr>
            <w:top w:val="none" w:sz="0" w:space="0" w:color="auto"/>
            <w:left w:val="none" w:sz="0" w:space="0" w:color="auto"/>
            <w:bottom w:val="none" w:sz="0" w:space="0" w:color="auto"/>
            <w:right w:val="none" w:sz="0" w:space="0" w:color="auto"/>
          </w:divBdr>
        </w:div>
      </w:divsChild>
    </w:div>
    <w:div w:id="462045701">
      <w:bodyDiv w:val="1"/>
      <w:marLeft w:val="0"/>
      <w:marRight w:val="0"/>
      <w:marTop w:val="0"/>
      <w:marBottom w:val="0"/>
      <w:divBdr>
        <w:top w:val="none" w:sz="0" w:space="0" w:color="auto"/>
        <w:left w:val="none" w:sz="0" w:space="0" w:color="auto"/>
        <w:bottom w:val="none" w:sz="0" w:space="0" w:color="auto"/>
        <w:right w:val="none" w:sz="0" w:space="0" w:color="auto"/>
      </w:divBdr>
    </w:div>
    <w:div w:id="513348375">
      <w:bodyDiv w:val="1"/>
      <w:marLeft w:val="0"/>
      <w:marRight w:val="0"/>
      <w:marTop w:val="0"/>
      <w:marBottom w:val="0"/>
      <w:divBdr>
        <w:top w:val="none" w:sz="0" w:space="0" w:color="auto"/>
        <w:left w:val="none" w:sz="0" w:space="0" w:color="auto"/>
        <w:bottom w:val="none" w:sz="0" w:space="0" w:color="auto"/>
        <w:right w:val="none" w:sz="0" w:space="0" w:color="auto"/>
      </w:divBdr>
      <w:divsChild>
        <w:div w:id="1198813483">
          <w:marLeft w:val="0"/>
          <w:marRight w:val="0"/>
          <w:marTop w:val="0"/>
          <w:marBottom w:val="0"/>
          <w:divBdr>
            <w:top w:val="none" w:sz="0" w:space="0" w:color="auto"/>
            <w:left w:val="none" w:sz="0" w:space="0" w:color="auto"/>
            <w:bottom w:val="none" w:sz="0" w:space="0" w:color="auto"/>
            <w:right w:val="none" w:sz="0" w:space="0" w:color="auto"/>
          </w:divBdr>
        </w:div>
        <w:div w:id="1347097853">
          <w:marLeft w:val="0"/>
          <w:marRight w:val="0"/>
          <w:marTop w:val="0"/>
          <w:marBottom w:val="0"/>
          <w:divBdr>
            <w:top w:val="none" w:sz="0" w:space="0" w:color="auto"/>
            <w:left w:val="none" w:sz="0" w:space="0" w:color="auto"/>
            <w:bottom w:val="none" w:sz="0" w:space="0" w:color="auto"/>
            <w:right w:val="none" w:sz="0" w:space="0" w:color="auto"/>
          </w:divBdr>
        </w:div>
      </w:divsChild>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557281">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984815609">
      <w:bodyDiv w:val="1"/>
      <w:marLeft w:val="0"/>
      <w:marRight w:val="0"/>
      <w:marTop w:val="0"/>
      <w:marBottom w:val="0"/>
      <w:divBdr>
        <w:top w:val="none" w:sz="0" w:space="0" w:color="auto"/>
        <w:left w:val="none" w:sz="0" w:space="0" w:color="auto"/>
        <w:bottom w:val="none" w:sz="0" w:space="0" w:color="auto"/>
        <w:right w:val="none" w:sz="0" w:space="0" w:color="auto"/>
      </w:divBdr>
    </w:div>
    <w:div w:id="1006981041">
      <w:bodyDiv w:val="1"/>
      <w:marLeft w:val="0"/>
      <w:marRight w:val="0"/>
      <w:marTop w:val="0"/>
      <w:marBottom w:val="0"/>
      <w:divBdr>
        <w:top w:val="none" w:sz="0" w:space="0" w:color="auto"/>
        <w:left w:val="none" w:sz="0" w:space="0" w:color="auto"/>
        <w:bottom w:val="none" w:sz="0" w:space="0" w:color="auto"/>
        <w:right w:val="none" w:sz="0" w:space="0" w:color="auto"/>
      </w:divBdr>
    </w:div>
    <w:div w:id="1621033255">
      <w:bodyDiv w:val="1"/>
      <w:marLeft w:val="0"/>
      <w:marRight w:val="0"/>
      <w:marTop w:val="0"/>
      <w:marBottom w:val="0"/>
      <w:divBdr>
        <w:top w:val="none" w:sz="0" w:space="0" w:color="auto"/>
        <w:left w:val="none" w:sz="0" w:space="0" w:color="auto"/>
        <w:bottom w:val="none" w:sz="0" w:space="0" w:color="auto"/>
        <w:right w:val="none" w:sz="0" w:space="0" w:color="auto"/>
      </w:divBdr>
    </w:div>
    <w:div w:id="1927420684">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2.xml><?xml version="1.0" encoding="utf-8"?>
<ds:datastoreItem xmlns:ds="http://schemas.openxmlformats.org/officeDocument/2006/customXml" ds:itemID="{808C2DF6-40D1-4423-8226-7E163B4C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55BB41-4CA3-4227-86D3-88B5A77B8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F1D0571B</Template>
  <TotalTime>8</TotalTime>
  <Pages>17</Pages>
  <Words>5748</Words>
  <Characters>35921</Characters>
  <Application>Microsoft Office Word</Application>
  <DocSecurity>0</DocSecurity>
  <Lines>299</Lines>
  <Paragraphs>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41586</CharactersWithSpaces>
  <SharedDoc>false</SharedDoc>
  <HLinks>
    <vt:vector size="12" baseType="variant">
      <vt:variant>
        <vt:i4>1900667</vt:i4>
      </vt:variant>
      <vt:variant>
        <vt:i4>3</vt:i4>
      </vt:variant>
      <vt:variant>
        <vt:i4>0</vt:i4>
      </vt:variant>
      <vt:variant>
        <vt:i4>5</vt:i4>
      </vt:variant>
      <vt:variant>
        <vt:lpwstr>https://www.gov.uk/government/uploads/system/uploads/attachment_data/file/573391/Asian-Development-Bank-Review.pdf</vt:lpwstr>
      </vt:variant>
      <vt:variant>
        <vt:lpwstr/>
      </vt:variant>
      <vt:variant>
        <vt:i4>1048595</vt:i4>
      </vt:variant>
      <vt:variant>
        <vt:i4>0</vt:i4>
      </vt:variant>
      <vt:variant>
        <vt:i4>0</vt:i4>
      </vt:variant>
      <vt:variant>
        <vt:i4>5</vt:i4>
      </vt:variant>
      <vt:variant>
        <vt:lpwstr>http://www.adb.org/site/evaluation/resources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subject/>
  <dc:creator>Han Huiskamp</dc:creator>
  <cp:keywords/>
  <cp:lastModifiedBy>Hengelaar, Dieke</cp:lastModifiedBy>
  <cp:revision>7</cp:revision>
  <cp:lastPrinted>2017-08-15T14:04:00Z</cp:lastPrinted>
  <dcterms:created xsi:type="dcterms:W3CDTF">2017-08-01T15:23:00Z</dcterms:created>
  <dcterms:modified xsi:type="dcterms:W3CDTF">2017-08-25T13:13:00Z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